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7BC2" w:rsidP="005814F2" w:rsidRDefault="000F0EDD">
      <w:pPr>
        <w:pStyle w:val="AODocTxtL1"/>
        <w:jc w:val="center"/>
        <w:rPr>
          <w:b/>
          <w:lang w:val="en-US"/>
        </w:rPr>
      </w:pPr>
      <w:r w:rsidRPr="009B5EB9">
        <w:rPr>
          <w:b/>
          <w:lang w:val="en-US"/>
        </w:rPr>
        <w:t xml:space="preserve">Americas Credit Derivatives Determinations Committee Statement – </w:t>
      </w:r>
      <w:r w:rsidR="00712650">
        <w:rPr>
          <w:b/>
          <w:lang w:val="en-US"/>
        </w:rPr>
        <w:t>May 17</w:t>
      </w:r>
      <w:r w:rsidRPr="009B5EB9">
        <w:rPr>
          <w:b/>
          <w:lang w:val="en-US"/>
        </w:rPr>
        <w:t>, 202</w:t>
      </w:r>
      <w:r w:rsidR="006E77D6">
        <w:rPr>
          <w:b/>
          <w:lang w:val="en-US"/>
        </w:rPr>
        <w:t>2</w:t>
      </w:r>
    </w:p>
    <w:p w:rsidRPr="00D74E7B" w:rsidR="000F0EDD" w:rsidP="005814F2" w:rsidRDefault="00D74E7B">
      <w:pPr>
        <w:pStyle w:val="AODocTxtL1"/>
        <w:jc w:val="center"/>
        <w:rPr>
          <w:b/>
          <w:lang w:val="en-US"/>
        </w:rPr>
      </w:pPr>
      <w:r w:rsidRPr="00D74E7B">
        <w:rPr>
          <w:b/>
          <w:lang w:val="en-US"/>
        </w:rPr>
        <w:t xml:space="preserve">MGM Growth Properties Operating Partnership LP </w:t>
      </w:r>
      <w:r w:rsidRPr="00D74E7B" w:rsidR="000F0EDD">
        <w:rPr>
          <w:b/>
          <w:lang w:val="en-US"/>
        </w:rPr>
        <w:t>Successor Determination</w:t>
      </w:r>
    </w:p>
    <w:p w:rsidRPr="00D74E7B" w:rsidR="000F0EDD" w:rsidP="005814F2" w:rsidRDefault="000F0EDD">
      <w:pPr>
        <w:pStyle w:val="AODocTxtL1"/>
        <w:jc w:val="center"/>
        <w:rPr>
          <w:b/>
          <w:lang w:val="en-US"/>
        </w:rPr>
      </w:pPr>
      <w:r w:rsidRPr="00D74E7B">
        <w:rPr>
          <w:b/>
          <w:lang w:val="en-US"/>
        </w:rPr>
        <w:t xml:space="preserve">DC Issue Number </w:t>
      </w:r>
      <w:r w:rsidRPr="00D74E7B" w:rsidR="00D74E7B">
        <w:rPr>
          <w:b/>
          <w:lang w:val="en-US"/>
        </w:rPr>
        <w:t>2022050201</w:t>
      </w:r>
    </w:p>
    <w:p w:rsidR="00565F3D" w:rsidP="00BC5FE1" w:rsidRDefault="00565F3D">
      <w:pPr>
        <w:pStyle w:val="AODocTxtL1"/>
        <w:ind w:left="0"/>
        <w:rPr>
          <w:lang w:val="en-US"/>
        </w:rPr>
      </w:pPr>
      <w:proofErr w:type="gramStart"/>
      <w:r>
        <w:rPr>
          <w:lang w:val="en-US"/>
        </w:rPr>
        <w:t xml:space="preserve">The Americas DC </w:t>
      </w:r>
      <w:r w:rsidRPr="00D064DF" w:rsidR="00D064DF">
        <w:rPr>
          <w:lang w:val="en-US"/>
        </w:rPr>
        <w:t xml:space="preserve">considered the General Interest Question relating to </w:t>
      </w:r>
      <w:r w:rsidR="00D74E7B">
        <w:rPr>
          <w:lang w:val="en-US"/>
        </w:rPr>
        <w:t>MGM Growth Properties Operating Partnership LP</w:t>
      </w:r>
      <w:r w:rsidR="009B3631">
        <w:rPr>
          <w:lang w:val="en-US"/>
        </w:rPr>
        <w:t xml:space="preserve"> </w:t>
      </w:r>
      <w:r w:rsidR="00F01270">
        <w:rPr>
          <w:lang w:val="en-US"/>
        </w:rPr>
        <w:t>(</w:t>
      </w:r>
      <w:r w:rsidR="00D74E7B">
        <w:rPr>
          <w:b/>
          <w:lang w:val="en-US"/>
        </w:rPr>
        <w:t>MGM</w:t>
      </w:r>
      <w:r w:rsidR="00A92503">
        <w:rPr>
          <w:b/>
          <w:lang w:val="en-US"/>
        </w:rPr>
        <w:t xml:space="preserve"> LP</w:t>
      </w:r>
      <w:r w:rsidR="00F01270">
        <w:rPr>
          <w:lang w:val="en-US"/>
        </w:rPr>
        <w:t>)</w:t>
      </w:r>
      <w:r w:rsidR="00BC5FE1">
        <w:rPr>
          <w:lang w:val="en-US"/>
        </w:rPr>
        <w:t xml:space="preserve"> (DC Issue Number </w:t>
      </w:r>
      <w:r w:rsidR="00D74E7B">
        <w:rPr>
          <w:lang w:val="en-US"/>
        </w:rPr>
        <w:t>2022050201</w:t>
      </w:r>
      <w:r w:rsidR="00BC5FE1">
        <w:rPr>
          <w:lang w:val="en-US"/>
        </w:rPr>
        <w:t xml:space="preserve">) </w:t>
      </w:r>
      <w:r w:rsidR="00763407">
        <w:rPr>
          <w:lang w:val="en-US"/>
        </w:rPr>
        <w:t>under</w:t>
      </w:r>
      <w:r w:rsidRPr="00B72476">
        <w:rPr>
          <w:lang w:val="en-US"/>
        </w:rPr>
        <w:t xml:space="preserve"> the 2014 </w:t>
      </w:r>
      <w:proofErr w:type="spellStart"/>
      <w:r w:rsidRPr="00B72476">
        <w:rPr>
          <w:lang w:val="en-US"/>
        </w:rPr>
        <w:t>ISDA</w:t>
      </w:r>
      <w:proofErr w:type="spellEnd"/>
      <w:r w:rsidRPr="00B72476">
        <w:rPr>
          <w:lang w:val="en-US"/>
        </w:rPr>
        <w:t xml:space="preserve"> Credit Derivatives Definitions (the </w:t>
      </w:r>
      <w:r w:rsidRPr="00B72476">
        <w:rPr>
          <w:b/>
          <w:lang w:val="en-US"/>
        </w:rPr>
        <w:t>2014 Definitions</w:t>
      </w:r>
      <w:r w:rsidRPr="00B72476">
        <w:rPr>
          <w:lang w:val="en-US"/>
        </w:rPr>
        <w:t>)</w:t>
      </w:r>
      <w:r w:rsidR="00763407">
        <w:rPr>
          <w:lang w:val="en-US"/>
        </w:rPr>
        <w:t xml:space="preserve"> </w:t>
      </w:r>
      <w:r w:rsidRPr="00B72476">
        <w:rPr>
          <w:lang w:val="en-US"/>
        </w:rPr>
        <w:t>as published by the International Swaps and Derivatives Association, Inc.</w:t>
      </w:r>
      <w:r w:rsidR="007A2E36">
        <w:rPr>
          <w:lang w:val="en-US"/>
        </w:rPr>
        <w:t>, and Resolved on Ma</w:t>
      </w:r>
      <w:r w:rsidR="00D74E7B">
        <w:rPr>
          <w:lang w:val="en-US"/>
        </w:rPr>
        <w:t xml:space="preserve">y </w:t>
      </w:r>
      <w:r w:rsidR="00712650">
        <w:rPr>
          <w:sz w:val="20"/>
          <w:lang w:val="en-US"/>
        </w:rPr>
        <w:t>17</w:t>
      </w:r>
      <w:r w:rsidR="00BC5FE1">
        <w:rPr>
          <w:lang w:val="en-US"/>
        </w:rPr>
        <w:t>, 202</w:t>
      </w:r>
      <w:r w:rsidR="00D74E7B">
        <w:rPr>
          <w:lang w:val="en-US"/>
        </w:rPr>
        <w:t>2</w:t>
      </w:r>
      <w:r w:rsidR="00BC5FE1">
        <w:rPr>
          <w:lang w:val="en-US"/>
        </w:rPr>
        <w:t xml:space="preserve"> that,</w:t>
      </w:r>
      <w:r>
        <w:rPr>
          <w:lang w:val="en-US"/>
        </w:rPr>
        <w:t xml:space="preserve"> as a result of </w:t>
      </w:r>
      <w:r w:rsidR="00D064DF">
        <w:rPr>
          <w:lang w:val="en-US"/>
        </w:rPr>
        <w:t xml:space="preserve">an exchange offer </w:t>
      </w:r>
      <w:r w:rsidR="00301E57">
        <w:rPr>
          <w:lang w:val="en-US"/>
        </w:rPr>
        <w:t>involving</w:t>
      </w:r>
      <w:r>
        <w:rPr>
          <w:lang w:val="en-US"/>
        </w:rPr>
        <w:t xml:space="preserve"> </w:t>
      </w:r>
      <w:r w:rsidR="00D74E7B">
        <w:rPr>
          <w:lang w:val="en-US"/>
        </w:rPr>
        <w:t>VICI Properties L.P. (</w:t>
      </w:r>
      <w:r w:rsidRPr="00D74E7B" w:rsidR="00D74E7B">
        <w:rPr>
          <w:b/>
          <w:lang w:val="en-US"/>
        </w:rPr>
        <w:t>VICI LP</w:t>
      </w:r>
      <w:r w:rsidR="00D74E7B">
        <w:rPr>
          <w:lang w:val="en-US"/>
        </w:rPr>
        <w:t>) and VICI Note Co. Inc. (</w:t>
      </w:r>
      <w:r w:rsidRPr="00D74E7B" w:rsidR="00D74E7B">
        <w:rPr>
          <w:b/>
          <w:lang w:val="en-US"/>
        </w:rPr>
        <w:t>VICI Note Co</w:t>
      </w:r>
      <w:r w:rsidR="00D74E7B">
        <w:rPr>
          <w:lang w:val="en-US"/>
        </w:rPr>
        <w:t xml:space="preserve">, and together with VICI LP, the </w:t>
      </w:r>
      <w:r w:rsidRPr="00D74E7B" w:rsidR="00D74E7B">
        <w:rPr>
          <w:b/>
          <w:lang w:val="en-US"/>
        </w:rPr>
        <w:t>VICI Issuers</w:t>
      </w:r>
      <w:r w:rsidR="00D74E7B">
        <w:rPr>
          <w:lang w:val="en-US"/>
        </w:rPr>
        <w:t xml:space="preserve">), </w:t>
      </w:r>
      <w:r w:rsidR="00AA5959">
        <w:rPr>
          <w:lang w:val="en-US"/>
        </w:rPr>
        <w:t xml:space="preserve">each of </w:t>
      </w:r>
      <w:r w:rsidR="00D74E7B">
        <w:rPr>
          <w:lang w:val="en-US"/>
        </w:rPr>
        <w:t>the VICI Issuers</w:t>
      </w:r>
      <w:r w:rsidR="00BC5FE1">
        <w:rPr>
          <w:lang w:val="en-US"/>
        </w:rPr>
        <w:t xml:space="preserve"> </w:t>
      </w:r>
      <w:r w:rsidR="00D064DF">
        <w:rPr>
          <w:lang w:val="en-US"/>
        </w:rPr>
        <w:t>became a Successor to</w:t>
      </w:r>
      <w:r w:rsidR="00BC5FE1">
        <w:rPr>
          <w:lang w:val="en-US"/>
        </w:rPr>
        <w:t xml:space="preserve"> </w:t>
      </w:r>
      <w:r w:rsidR="00D74E7B">
        <w:rPr>
          <w:lang w:val="en-US"/>
        </w:rPr>
        <w:t>MGM</w:t>
      </w:r>
      <w:r w:rsidR="00BC5FE1">
        <w:rPr>
          <w:lang w:val="en-US"/>
        </w:rPr>
        <w:t xml:space="preserve"> </w:t>
      </w:r>
      <w:r w:rsidR="00A92503">
        <w:rPr>
          <w:lang w:val="en-US"/>
        </w:rPr>
        <w:t xml:space="preserve">LP </w:t>
      </w:r>
      <w:r w:rsidR="00BC5FE1">
        <w:rPr>
          <w:lang w:val="en-US"/>
        </w:rPr>
        <w:t>under the 2014 Definitions</w:t>
      </w:r>
      <w:r w:rsidR="00BC5FE1">
        <w:rPr>
          <w:rStyle w:val="FootnoteReference"/>
          <w:lang w:val="en-US"/>
        </w:rPr>
        <w:footnoteReference w:id="1"/>
      </w:r>
      <w:r w:rsidR="00BC5FE1">
        <w:rPr>
          <w:lang w:val="en-US"/>
        </w:rPr>
        <w:t xml:space="preserve"> </w:t>
      </w:r>
      <w:r w:rsidR="00AA5959">
        <w:rPr>
          <w:lang w:val="en-US"/>
        </w:rPr>
        <w:t xml:space="preserve">on </w:t>
      </w:r>
      <w:r w:rsidR="00D74E7B">
        <w:rPr>
          <w:lang w:val="en-US"/>
        </w:rPr>
        <w:t>April 29</w:t>
      </w:r>
      <w:r w:rsidR="00AA5959">
        <w:rPr>
          <w:lang w:val="en-US"/>
        </w:rPr>
        <w:t>, 202</w:t>
      </w:r>
      <w:r w:rsidR="00D74E7B">
        <w:rPr>
          <w:lang w:val="en-US"/>
        </w:rPr>
        <w:t>2</w:t>
      </w:r>
      <w:r>
        <w:rPr>
          <w:lang w:val="en-US"/>
        </w:rPr>
        <w:t>.</w:t>
      </w:r>
      <w:proofErr w:type="gramEnd"/>
      <w:r w:rsidR="00BC5FE1">
        <w:rPr>
          <w:lang w:val="en-US"/>
        </w:rPr>
        <w:t xml:space="preserve">   </w:t>
      </w:r>
    </w:p>
    <w:p w:rsidR="00D064DF" w:rsidP="00D064DF" w:rsidRDefault="00D064DF">
      <w:pPr>
        <w:pStyle w:val="AODocTxtL1"/>
        <w:ind w:left="0"/>
        <w:rPr>
          <w:lang w:val="en-US"/>
        </w:rPr>
      </w:pPr>
      <w:r w:rsidRPr="00D064DF">
        <w:rPr>
          <w:lang w:val="en-US"/>
        </w:rPr>
        <w:t>The Americas DC is providing the following statement in connection with its Successor determination.</w:t>
      </w:r>
    </w:p>
    <w:p w:rsidRPr="00B72476" w:rsidR="00FD1E36" w:rsidP="00951D85" w:rsidRDefault="00F018B3">
      <w:pPr>
        <w:pStyle w:val="AOHead1"/>
        <w:rPr>
          <w:lang w:val="en-US"/>
        </w:rPr>
      </w:pPr>
      <w:r>
        <w:rPr>
          <w:lang w:val="en-US"/>
        </w:rPr>
        <w:t xml:space="preserve">Summary of </w:t>
      </w:r>
      <w:r w:rsidR="000F0EDD">
        <w:rPr>
          <w:lang w:val="en-US"/>
        </w:rPr>
        <w:t>EVENTS</w:t>
      </w:r>
    </w:p>
    <w:p w:rsidR="00EC0446" w:rsidP="00A92503" w:rsidRDefault="00CE3EA4">
      <w:pPr>
        <w:pStyle w:val="AOAltHead3"/>
        <w:rPr>
          <w:lang w:val="en-US"/>
        </w:rPr>
      </w:pPr>
      <w:r>
        <w:rPr>
          <w:lang w:val="en-US"/>
        </w:rPr>
        <w:t xml:space="preserve">On </w:t>
      </w:r>
      <w:r w:rsidR="00A92503">
        <w:rPr>
          <w:lang w:val="en-US"/>
        </w:rPr>
        <w:t>August 4, 2021</w:t>
      </w:r>
      <w:r>
        <w:rPr>
          <w:lang w:val="en-US"/>
        </w:rPr>
        <w:t xml:space="preserve">, </w:t>
      </w:r>
      <w:r w:rsidR="00A92503">
        <w:rPr>
          <w:lang w:val="en-US"/>
        </w:rPr>
        <w:t>MGM LP, certain related MGM entities including MGM Growth Properties LLC (</w:t>
      </w:r>
      <w:r w:rsidRPr="00A92503" w:rsidR="00A92503">
        <w:rPr>
          <w:b/>
          <w:lang w:val="en-US"/>
        </w:rPr>
        <w:t>MGM LLC</w:t>
      </w:r>
      <w:r w:rsidR="00A92503">
        <w:rPr>
          <w:lang w:val="en-US"/>
        </w:rPr>
        <w:t xml:space="preserve">) and certain VICI entities </w:t>
      </w:r>
      <w:r w:rsidRPr="00CE3EA4">
        <w:rPr>
          <w:lang w:val="en-US"/>
        </w:rPr>
        <w:t xml:space="preserve">entered into a </w:t>
      </w:r>
      <w:r w:rsidR="00A92503">
        <w:rPr>
          <w:lang w:val="en-US"/>
        </w:rPr>
        <w:t>master transaction</w:t>
      </w:r>
      <w:r>
        <w:rPr>
          <w:lang w:val="en-US"/>
        </w:rPr>
        <w:t xml:space="preserve"> agreement </w:t>
      </w:r>
      <w:r w:rsidR="00330EAC">
        <w:rPr>
          <w:lang w:val="en-US"/>
        </w:rPr>
        <w:t>(</w:t>
      </w:r>
      <w:r w:rsidR="00B069FF">
        <w:rPr>
          <w:lang w:val="en-US"/>
        </w:rPr>
        <w:t xml:space="preserve">the </w:t>
      </w:r>
      <w:r w:rsidR="00A92503">
        <w:rPr>
          <w:b/>
          <w:lang w:val="en-US"/>
        </w:rPr>
        <w:t>Transaction</w:t>
      </w:r>
      <w:r w:rsidR="00330EAC">
        <w:rPr>
          <w:b/>
          <w:lang w:val="en-US"/>
        </w:rPr>
        <w:t xml:space="preserve"> Agreement</w:t>
      </w:r>
      <w:r w:rsidR="00A92503">
        <w:rPr>
          <w:lang w:val="en-US"/>
        </w:rPr>
        <w:t>), which provided for</w:t>
      </w:r>
      <w:r w:rsidR="00C265FD">
        <w:rPr>
          <w:lang w:val="en-US"/>
        </w:rPr>
        <w:t>, among other things</w:t>
      </w:r>
      <w:r w:rsidR="00A92503">
        <w:rPr>
          <w:lang w:val="en-US"/>
        </w:rPr>
        <w:t>:</w:t>
      </w:r>
    </w:p>
    <w:p w:rsidR="00A92503" w:rsidP="00A92503" w:rsidRDefault="00A92503">
      <w:pPr>
        <w:pStyle w:val="AOAltHead4"/>
        <w:rPr>
          <w:lang w:val="en-US"/>
        </w:rPr>
      </w:pPr>
      <w:r>
        <w:rPr>
          <w:lang w:val="en-US"/>
        </w:rPr>
        <w:t xml:space="preserve">The merger of MGM LLC </w:t>
      </w:r>
      <w:r w:rsidR="00A17D23">
        <w:rPr>
          <w:lang w:val="en-US"/>
        </w:rPr>
        <w:t>with and into</w:t>
      </w:r>
      <w:r>
        <w:rPr>
          <w:lang w:val="en-US"/>
        </w:rPr>
        <w:t xml:space="preserve"> a merger subsidiary (</w:t>
      </w:r>
      <w:r w:rsidRPr="00A17D23">
        <w:rPr>
          <w:b/>
          <w:lang w:val="en-US"/>
        </w:rPr>
        <w:t>REIT Merger Sub</w:t>
      </w:r>
      <w:r>
        <w:rPr>
          <w:lang w:val="en-US"/>
        </w:rPr>
        <w:t>), with REIT Merger Sub being the surviving entity</w:t>
      </w:r>
      <w:r w:rsidR="00A17D23">
        <w:rPr>
          <w:lang w:val="en-US"/>
        </w:rPr>
        <w:t xml:space="preserve"> (the </w:t>
      </w:r>
      <w:r w:rsidRPr="00A17D23" w:rsidR="00A17D23">
        <w:rPr>
          <w:b/>
          <w:lang w:val="en-US"/>
        </w:rPr>
        <w:t>REIT Merger</w:t>
      </w:r>
      <w:r w:rsidR="00A17D23">
        <w:rPr>
          <w:lang w:val="en-US"/>
        </w:rPr>
        <w:t>)</w:t>
      </w:r>
      <w:r w:rsidR="00AD217A">
        <w:rPr>
          <w:rStyle w:val="FootnoteReference"/>
          <w:lang w:val="en-US"/>
        </w:rPr>
        <w:footnoteReference w:id="2"/>
      </w:r>
      <w:r>
        <w:rPr>
          <w:lang w:val="en-US"/>
        </w:rPr>
        <w:t>;</w:t>
      </w:r>
    </w:p>
    <w:p w:rsidR="00A92503" w:rsidP="00A92503" w:rsidRDefault="00A92503">
      <w:pPr>
        <w:pStyle w:val="AOAltHead4"/>
        <w:rPr>
          <w:lang w:val="en-US"/>
        </w:rPr>
      </w:pPr>
      <w:r>
        <w:rPr>
          <w:lang w:val="en-US"/>
        </w:rPr>
        <w:t xml:space="preserve">The merger of REIT Merger Sub </w:t>
      </w:r>
      <w:r w:rsidR="00A17D23">
        <w:rPr>
          <w:lang w:val="en-US"/>
        </w:rPr>
        <w:t>with and into</w:t>
      </w:r>
      <w:r>
        <w:rPr>
          <w:lang w:val="en-US"/>
        </w:rPr>
        <w:t xml:space="preserve"> MGM LP, with MGM LP being the surviving entity</w:t>
      </w:r>
      <w:r w:rsidR="00A96E7D">
        <w:rPr>
          <w:rStyle w:val="FootnoteReference"/>
          <w:lang w:val="en-US"/>
        </w:rPr>
        <w:footnoteReference w:id="3"/>
      </w:r>
      <w:r w:rsidR="00A17D23">
        <w:rPr>
          <w:lang w:val="en-US"/>
        </w:rPr>
        <w:t xml:space="preserve"> (the </w:t>
      </w:r>
      <w:r w:rsidRPr="00A17D23" w:rsidR="00A17D23">
        <w:rPr>
          <w:b/>
          <w:lang w:val="en-US"/>
        </w:rPr>
        <w:t>Partnership Merger</w:t>
      </w:r>
      <w:r w:rsidR="00AE0C66">
        <w:rPr>
          <w:lang w:val="en-US"/>
        </w:rPr>
        <w:t xml:space="preserve">, and together with the REIT Merger, the </w:t>
      </w:r>
      <w:r w:rsidR="00AE0C66">
        <w:rPr>
          <w:b/>
          <w:lang w:val="en-US"/>
        </w:rPr>
        <w:t>Mergers</w:t>
      </w:r>
      <w:r w:rsidR="00A17D23">
        <w:rPr>
          <w:lang w:val="en-US"/>
        </w:rPr>
        <w:t>)</w:t>
      </w:r>
      <w:r>
        <w:rPr>
          <w:lang w:val="en-US"/>
        </w:rPr>
        <w:t>; and</w:t>
      </w:r>
    </w:p>
    <w:p w:rsidRPr="00A92503" w:rsidR="00A92503" w:rsidP="00A92503" w:rsidRDefault="00A92503">
      <w:pPr>
        <w:pStyle w:val="AOAltHead4"/>
        <w:rPr>
          <w:lang w:val="en-US"/>
        </w:rPr>
      </w:pPr>
      <w:r>
        <w:rPr>
          <w:lang w:val="en-US"/>
        </w:rPr>
        <w:t xml:space="preserve">The potential exchange of existing MGM debt </w:t>
      </w:r>
      <w:r w:rsidR="00A17D23">
        <w:rPr>
          <w:lang w:val="en-US"/>
        </w:rPr>
        <w:t xml:space="preserve">(including MGM LP debt) </w:t>
      </w:r>
      <w:r>
        <w:rPr>
          <w:lang w:val="en-US"/>
        </w:rPr>
        <w:t>for new VICI debt</w:t>
      </w:r>
      <w:r w:rsidR="00041259">
        <w:rPr>
          <w:lang w:val="en-US"/>
        </w:rPr>
        <w:t xml:space="preserve"> (the </w:t>
      </w:r>
      <w:r w:rsidR="00041259">
        <w:rPr>
          <w:b/>
          <w:lang w:val="en-US"/>
        </w:rPr>
        <w:t>Exchange</w:t>
      </w:r>
      <w:r w:rsidR="00041259">
        <w:rPr>
          <w:lang w:val="en-US"/>
        </w:rPr>
        <w:t>)</w:t>
      </w:r>
      <w:r>
        <w:rPr>
          <w:lang w:val="en-US"/>
        </w:rPr>
        <w:t>.</w:t>
      </w:r>
      <w:r w:rsidR="00A17D23">
        <w:rPr>
          <w:rStyle w:val="FootnoteReference"/>
          <w:lang w:val="en-US"/>
        </w:rPr>
        <w:footnoteReference w:id="4"/>
      </w:r>
    </w:p>
    <w:p w:rsidR="00AE0C66" w:rsidRDefault="00AE0C66">
      <w:pPr>
        <w:pStyle w:val="AOAltHead3"/>
        <w:rPr>
          <w:lang w:val="en-US"/>
        </w:rPr>
      </w:pPr>
      <w:r>
        <w:rPr>
          <w:lang w:val="en-US"/>
        </w:rPr>
        <w:t xml:space="preserve">Pursuant to the terms and conditions of an Offering Memorandum dated September 13, 2021, the VICI Issuers initiated </w:t>
      </w:r>
      <w:r w:rsidR="00041259">
        <w:rPr>
          <w:lang w:val="en-US"/>
        </w:rPr>
        <w:t xml:space="preserve">the Exchange via </w:t>
      </w:r>
      <w:r w:rsidR="00623179">
        <w:rPr>
          <w:lang w:val="en-US"/>
        </w:rPr>
        <w:t>certain</w:t>
      </w:r>
      <w:r>
        <w:rPr>
          <w:lang w:val="en-US"/>
        </w:rPr>
        <w:t xml:space="preserve"> exchange offer</w:t>
      </w:r>
      <w:r w:rsidR="00623179">
        <w:rPr>
          <w:lang w:val="en-US"/>
        </w:rPr>
        <w:t>s</w:t>
      </w:r>
      <w:r>
        <w:rPr>
          <w:lang w:val="en-US"/>
        </w:rPr>
        <w:t xml:space="preserve"> and </w:t>
      </w:r>
      <w:r w:rsidR="00623179">
        <w:rPr>
          <w:lang w:val="en-US"/>
        </w:rPr>
        <w:t xml:space="preserve">related </w:t>
      </w:r>
      <w:r>
        <w:rPr>
          <w:lang w:val="en-US"/>
        </w:rPr>
        <w:t>consent solicitation</w:t>
      </w:r>
      <w:r w:rsidR="00623179">
        <w:rPr>
          <w:lang w:val="en-US"/>
        </w:rPr>
        <w:t>s</w:t>
      </w:r>
      <w:r>
        <w:rPr>
          <w:lang w:val="en-US"/>
        </w:rPr>
        <w:t xml:space="preserve"> for </w:t>
      </w:r>
      <w:r w:rsidR="00AD217A">
        <w:rPr>
          <w:lang w:val="en-US"/>
        </w:rPr>
        <w:t>"</w:t>
      </w:r>
      <w:r>
        <w:rPr>
          <w:lang w:val="en-US"/>
        </w:rPr>
        <w:t>any and all outstanding notes</w:t>
      </w:r>
      <w:r w:rsidR="00AD217A">
        <w:rPr>
          <w:lang w:val="en-US"/>
        </w:rPr>
        <w:t>"</w:t>
      </w:r>
      <w:r>
        <w:rPr>
          <w:lang w:val="en-US"/>
        </w:rPr>
        <w:t xml:space="preserve"> of MGM LP</w:t>
      </w:r>
      <w:r w:rsidR="005B5BE5">
        <w:rPr>
          <w:lang w:val="en-US"/>
        </w:rPr>
        <w:t xml:space="preserve"> (</w:t>
      </w:r>
      <w:r w:rsidRPr="005B5BE5" w:rsidR="005B5BE5">
        <w:rPr>
          <w:b/>
          <w:lang w:val="en-US"/>
        </w:rPr>
        <w:t>MGM LP Notes</w:t>
      </w:r>
      <w:r w:rsidR="005B5BE5">
        <w:rPr>
          <w:lang w:val="en-US"/>
        </w:rPr>
        <w:t>)</w:t>
      </w:r>
      <w:r>
        <w:rPr>
          <w:lang w:val="en-US"/>
        </w:rPr>
        <w:t>.</w:t>
      </w:r>
      <w:r w:rsidR="00623179">
        <w:rPr>
          <w:rStyle w:val="FootnoteReference"/>
          <w:lang w:val="en-US"/>
        </w:rPr>
        <w:footnoteReference w:id="5"/>
      </w:r>
      <w:r>
        <w:rPr>
          <w:lang w:val="en-US"/>
        </w:rPr>
        <w:t xml:space="preserve">  </w:t>
      </w:r>
      <w:r w:rsidR="00623179">
        <w:rPr>
          <w:lang w:val="en-US"/>
        </w:rPr>
        <w:t xml:space="preserve">Consistent with the Transaction Agreement, </w:t>
      </w:r>
      <w:r w:rsidR="00041259">
        <w:rPr>
          <w:lang w:val="en-US"/>
        </w:rPr>
        <w:t>such</w:t>
      </w:r>
      <w:r>
        <w:rPr>
          <w:lang w:val="en-US"/>
        </w:rPr>
        <w:t xml:space="preserve"> </w:t>
      </w:r>
      <w:r>
        <w:rPr>
          <w:lang w:val="en-US"/>
        </w:rPr>
        <w:lastRenderedPageBreak/>
        <w:t>exchange offer</w:t>
      </w:r>
      <w:r w:rsidR="00623179">
        <w:rPr>
          <w:lang w:val="en-US"/>
        </w:rPr>
        <w:t>s</w:t>
      </w:r>
      <w:r>
        <w:rPr>
          <w:lang w:val="en-US"/>
        </w:rPr>
        <w:t xml:space="preserve"> and </w:t>
      </w:r>
      <w:r w:rsidR="00623179">
        <w:rPr>
          <w:lang w:val="en-US"/>
        </w:rPr>
        <w:t xml:space="preserve">related </w:t>
      </w:r>
      <w:r>
        <w:rPr>
          <w:lang w:val="en-US"/>
        </w:rPr>
        <w:t>consent solicitation</w:t>
      </w:r>
      <w:r w:rsidR="00623179">
        <w:rPr>
          <w:lang w:val="en-US"/>
        </w:rPr>
        <w:t xml:space="preserve">s </w:t>
      </w:r>
      <w:r>
        <w:rPr>
          <w:lang w:val="en-US"/>
        </w:rPr>
        <w:t xml:space="preserve">were announced in connection with, and </w:t>
      </w:r>
      <w:proofErr w:type="gramStart"/>
      <w:r>
        <w:rPr>
          <w:lang w:val="en-US"/>
        </w:rPr>
        <w:t>were conditioned</w:t>
      </w:r>
      <w:proofErr w:type="gramEnd"/>
      <w:r>
        <w:rPr>
          <w:lang w:val="en-US"/>
        </w:rPr>
        <w:t xml:space="preserve"> upon the completion of, the Mergers.</w:t>
      </w:r>
      <w:r w:rsidR="00A0341D">
        <w:rPr>
          <w:rStyle w:val="FootnoteReference"/>
          <w:lang w:val="en-US"/>
        </w:rPr>
        <w:footnoteReference w:id="6"/>
      </w:r>
      <w:r>
        <w:rPr>
          <w:lang w:val="en-US"/>
        </w:rPr>
        <w:t xml:space="preserve">  </w:t>
      </w:r>
    </w:p>
    <w:p w:rsidR="00AE0C66" w:rsidRDefault="00AE0C66">
      <w:pPr>
        <w:pStyle w:val="AOAltHead3"/>
        <w:rPr>
          <w:lang w:val="en-US"/>
        </w:rPr>
      </w:pPr>
      <w:r>
        <w:rPr>
          <w:lang w:val="en-US"/>
        </w:rPr>
        <w:t xml:space="preserve">On April 14, 2022, VICI extended the expiration date of the </w:t>
      </w:r>
      <w:r w:rsidR="00041259">
        <w:rPr>
          <w:lang w:val="en-US"/>
        </w:rPr>
        <w:t>Exchange</w:t>
      </w:r>
      <w:r>
        <w:rPr>
          <w:lang w:val="en-US"/>
        </w:rPr>
        <w:t xml:space="preserve">, in order to ensure that </w:t>
      </w:r>
      <w:r w:rsidR="00AD217A">
        <w:rPr>
          <w:lang w:val="en-US"/>
        </w:rPr>
        <w:t>"</w:t>
      </w:r>
      <w:r>
        <w:rPr>
          <w:lang w:val="en-US"/>
        </w:rPr>
        <w:t xml:space="preserve">the </w:t>
      </w:r>
      <w:r w:rsidR="00623179">
        <w:rPr>
          <w:lang w:val="en-US"/>
        </w:rPr>
        <w:t>Mergers may be consummated on or before the Settlement Date</w:t>
      </w:r>
      <w:r w:rsidR="00AD217A">
        <w:rPr>
          <w:lang w:val="en-US"/>
        </w:rPr>
        <w:t>"</w:t>
      </w:r>
      <w:r w:rsidR="00623179">
        <w:rPr>
          <w:lang w:val="en-US"/>
        </w:rPr>
        <w:t>.</w:t>
      </w:r>
      <w:r w:rsidR="00623179">
        <w:rPr>
          <w:rStyle w:val="FootnoteReference"/>
          <w:lang w:val="en-US"/>
        </w:rPr>
        <w:footnoteReference w:id="7"/>
      </w:r>
      <w:r>
        <w:rPr>
          <w:lang w:val="en-US"/>
        </w:rPr>
        <w:t xml:space="preserve"> </w:t>
      </w:r>
    </w:p>
    <w:p w:rsidR="00623179" w:rsidRDefault="00623179">
      <w:pPr>
        <w:pStyle w:val="AOAltHead3"/>
        <w:rPr>
          <w:lang w:val="en-US"/>
        </w:rPr>
      </w:pPr>
      <w:r>
        <w:rPr>
          <w:lang w:val="en-US"/>
        </w:rPr>
        <w:t xml:space="preserve">On April 28, 2022, VICI LP announced that the VICI Issuers had accepted for exchange more than 95% of the outstanding principal amount of MGM </w:t>
      </w:r>
      <w:r w:rsidR="00A96E7D">
        <w:rPr>
          <w:lang w:val="en-US"/>
        </w:rPr>
        <w:t>LP</w:t>
      </w:r>
      <w:r w:rsidR="00101876">
        <w:rPr>
          <w:lang w:val="en-US"/>
        </w:rPr>
        <w:t xml:space="preserve"> Notes</w:t>
      </w:r>
      <w:r w:rsidR="00A0341D">
        <w:rPr>
          <w:rStyle w:val="FootnoteReference"/>
          <w:lang w:val="en-US"/>
        </w:rPr>
        <w:footnoteReference w:id="8"/>
      </w:r>
      <w:r>
        <w:rPr>
          <w:lang w:val="en-US"/>
        </w:rPr>
        <w:t>:</w:t>
      </w:r>
    </w:p>
    <w:tbl>
      <w:tblPr>
        <w:tblW w:w="5000" w:type="pct"/>
        <w:jc w:val="center"/>
        <w:shd w:val="clear" w:color="auto" w:fill="FFFFFF"/>
        <w:tblCellMar>
          <w:left w:w="0" w:type="dxa"/>
          <w:right w:w="0" w:type="dxa"/>
        </w:tblCellMar>
        <w:tblLook w:val="04A0" w:firstRow="1" w:lastRow="0" w:firstColumn="1" w:lastColumn="0" w:noHBand="0" w:noVBand="1"/>
      </w:tblPr>
      <w:tblGrid>
        <w:gridCol w:w="2448"/>
        <w:gridCol w:w="234"/>
        <w:gridCol w:w="50"/>
        <w:gridCol w:w="1184"/>
        <w:gridCol w:w="50"/>
        <w:gridCol w:w="233"/>
        <w:gridCol w:w="1378"/>
        <w:gridCol w:w="233"/>
        <w:gridCol w:w="110"/>
        <w:gridCol w:w="1263"/>
        <w:gridCol w:w="50"/>
        <w:gridCol w:w="233"/>
        <w:gridCol w:w="100"/>
        <w:gridCol w:w="1150"/>
        <w:gridCol w:w="50"/>
        <w:gridCol w:w="233"/>
        <w:gridCol w:w="76"/>
        <w:gridCol w:w="680"/>
        <w:gridCol w:w="217"/>
      </w:tblGrid>
      <w:tr w:rsidRPr="00623179" w:rsidR="00623179" w:rsidTr="00623179">
        <w:trPr>
          <w:jc w:val="center"/>
        </w:trPr>
        <w:tc>
          <w:tcPr>
            <w:tcW w:w="2100" w:type="pct"/>
            <w:shd w:val="clear" w:color="auto" w:fill="FFFFFF"/>
            <w:vAlign w:val="center"/>
            <w:hideMark/>
          </w:tcPr>
          <w:p w:rsidRPr="00623179" w:rsidR="00623179" w:rsidP="00623179" w:rsidRDefault="00623179">
            <w:pPr>
              <w:rPr>
                <w:rFonts w:eastAsia="Times New Roman"/>
                <w:sz w:val="24"/>
                <w:szCs w:val="24"/>
                <w:lang w:val="en-US"/>
              </w:rPr>
            </w:pPr>
          </w:p>
        </w:tc>
        <w:tc>
          <w:tcPr>
            <w:tcW w:w="200" w:type="pct"/>
            <w:shd w:val="clear" w:color="auto" w:fill="FFFFFF"/>
            <w:vAlign w:val="bottom"/>
            <w:hideMark/>
          </w:tcPr>
          <w:p w:rsidRPr="00623179" w:rsidR="00623179" w:rsidP="00623179" w:rsidRDefault="00623179">
            <w:pPr>
              <w:rPr>
                <w:rFonts w:eastAsia="Times New Roman"/>
                <w:sz w:val="20"/>
                <w:szCs w:val="20"/>
                <w:lang w:val="en-US"/>
              </w:rPr>
            </w:pPr>
          </w:p>
        </w:tc>
        <w:tc>
          <w:tcPr>
            <w:tcW w:w="0" w:type="auto"/>
            <w:shd w:val="clear" w:color="auto" w:fill="FFFFFF"/>
            <w:vAlign w:val="center"/>
            <w:hideMark/>
          </w:tcPr>
          <w:p w:rsidRPr="00623179" w:rsidR="00623179" w:rsidP="00623179" w:rsidRDefault="00623179">
            <w:pPr>
              <w:rPr>
                <w:rFonts w:eastAsia="Times New Roman"/>
                <w:sz w:val="20"/>
                <w:szCs w:val="20"/>
                <w:lang w:val="en-US"/>
              </w:rPr>
            </w:pPr>
          </w:p>
        </w:tc>
        <w:tc>
          <w:tcPr>
            <w:tcW w:w="0" w:type="auto"/>
            <w:shd w:val="clear" w:color="auto" w:fill="FFFFFF"/>
            <w:vAlign w:val="center"/>
            <w:hideMark/>
          </w:tcPr>
          <w:p w:rsidRPr="00623179" w:rsidR="00623179" w:rsidP="00623179" w:rsidRDefault="00623179">
            <w:pPr>
              <w:rPr>
                <w:rFonts w:eastAsia="Times New Roman"/>
                <w:sz w:val="20"/>
                <w:szCs w:val="20"/>
                <w:lang w:val="en-US"/>
              </w:rPr>
            </w:pPr>
          </w:p>
        </w:tc>
        <w:tc>
          <w:tcPr>
            <w:tcW w:w="0" w:type="auto"/>
            <w:shd w:val="clear" w:color="auto" w:fill="FFFFFF"/>
            <w:vAlign w:val="center"/>
            <w:hideMark/>
          </w:tcPr>
          <w:p w:rsidRPr="00623179" w:rsidR="00623179" w:rsidP="00623179" w:rsidRDefault="00623179">
            <w:pPr>
              <w:rPr>
                <w:rFonts w:eastAsia="Times New Roman"/>
                <w:sz w:val="20"/>
                <w:szCs w:val="20"/>
                <w:lang w:val="en-US"/>
              </w:rPr>
            </w:pPr>
          </w:p>
        </w:tc>
        <w:tc>
          <w:tcPr>
            <w:tcW w:w="200" w:type="pct"/>
            <w:shd w:val="clear" w:color="auto" w:fill="FFFFFF"/>
            <w:vAlign w:val="bottom"/>
            <w:hideMark/>
          </w:tcPr>
          <w:p w:rsidRPr="00623179" w:rsidR="00623179" w:rsidP="00623179" w:rsidRDefault="00623179">
            <w:pPr>
              <w:rPr>
                <w:rFonts w:eastAsia="Times New Roman"/>
                <w:sz w:val="20"/>
                <w:szCs w:val="20"/>
                <w:lang w:val="en-US"/>
              </w:rPr>
            </w:pPr>
          </w:p>
        </w:tc>
        <w:tc>
          <w:tcPr>
            <w:tcW w:w="0" w:type="auto"/>
            <w:shd w:val="clear" w:color="auto" w:fill="FFFFFF"/>
            <w:vAlign w:val="center"/>
            <w:hideMark/>
          </w:tcPr>
          <w:p w:rsidRPr="00623179" w:rsidR="00623179" w:rsidP="00623179" w:rsidRDefault="00623179">
            <w:pPr>
              <w:rPr>
                <w:rFonts w:eastAsia="Times New Roman"/>
                <w:sz w:val="20"/>
                <w:szCs w:val="20"/>
                <w:lang w:val="en-US"/>
              </w:rPr>
            </w:pPr>
          </w:p>
        </w:tc>
        <w:tc>
          <w:tcPr>
            <w:tcW w:w="200" w:type="pct"/>
            <w:shd w:val="clear" w:color="auto" w:fill="FFFFFF"/>
            <w:vAlign w:val="bottom"/>
            <w:hideMark/>
          </w:tcPr>
          <w:p w:rsidRPr="00623179" w:rsidR="00623179" w:rsidP="00623179" w:rsidRDefault="00623179">
            <w:pPr>
              <w:rPr>
                <w:rFonts w:eastAsia="Times New Roman"/>
                <w:sz w:val="20"/>
                <w:szCs w:val="20"/>
                <w:lang w:val="en-US"/>
              </w:rPr>
            </w:pPr>
          </w:p>
        </w:tc>
        <w:tc>
          <w:tcPr>
            <w:tcW w:w="0" w:type="auto"/>
            <w:shd w:val="clear" w:color="auto" w:fill="FFFFFF"/>
            <w:vAlign w:val="center"/>
            <w:hideMark/>
          </w:tcPr>
          <w:p w:rsidRPr="00623179" w:rsidR="00623179" w:rsidP="00623179" w:rsidRDefault="00623179">
            <w:pPr>
              <w:rPr>
                <w:rFonts w:eastAsia="Times New Roman"/>
                <w:sz w:val="20"/>
                <w:szCs w:val="20"/>
                <w:lang w:val="en-US"/>
              </w:rPr>
            </w:pPr>
          </w:p>
        </w:tc>
        <w:tc>
          <w:tcPr>
            <w:tcW w:w="0" w:type="auto"/>
            <w:shd w:val="clear" w:color="auto" w:fill="FFFFFF"/>
            <w:vAlign w:val="center"/>
            <w:hideMark/>
          </w:tcPr>
          <w:p w:rsidRPr="00623179" w:rsidR="00623179" w:rsidP="00623179" w:rsidRDefault="00623179">
            <w:pPr>
              <w:rPr>
                <w:rFonts w:eastAsia="Times New Roman"/>
                <w:sz w:val="20"/>
                <w:szCs w:val="20"/>
                <w:lang w:val="en-US"/>
              </w:rPr>
            </w:pPr>
          </w:p>
        </w:tc>
        <w:tc>
          <w:tcPr>
            <w:tcW w:w="0" w:type="auto"/>
            <w:shd w:val="clear" w:color="auto" w:fill="FFFFFF"/>
            <w:vAlign w:val="center"/>
            <w:hideMark/>
          </w:tcPr>
          <w:p w:rsidRPr="00623179" w:rsidR="00623179" w:rsidP="00623179" w:rsidRDefault="00623179">
            <w:pPr>
              <w:rPr>
                <w:rFonts w:eastAsia="Times New Roman"/>
                <w:sz w:val="20"/>
                <w:szCs w:val="20"/>
                <w:lang w:val="en-US"/>
              </w:rPr>
            </w:pPr>
          </w:p>
        </w:tc>
        <w:tc>
          <w:tcPr>
            <w:tcW w:w="200" w:type="pct"/>
            <w:shd w:val="clear" w:color="auto" w:fill="FFFFFF"/>
            <w:vAlign w:val="bottom"/>
            <w:hideMark/>
          </w:tcPr>
          <w:p w:rsidRPr="00623179" w:rsidR="00623179" w:rsidP="00623179" w:rsidRDefault="00623179">
            <w:pPr>
              <w:rPr>
                <w:rFonts w:eastAsia="Times New Roman"/>
                <w:sz w:val="20"/>
                <w:szCs w:val="20"/>
                <w:lang w:val="en-US"/>
              </w:rPr>
            </w:pPr>
          </w:p>
        </w:tc>
        <w:tc>
          <w:tcPr>
            <w:tcW w:w="0" w:type="auto"/>
            <w:shd w:val="clear" w:color="auto" w:fill="FFFFFF"/>
            <w:vAlign w:val="center"/>
            <w:hideMark/>
          </w:tcPr>
          <w:p w:rsidRPr="00623179" w:rsidR="00623179" w:rsidP="00623179" w:rsidRDefault="00623179">
            <w:pPr>
              <w:rPr>
                <w:rFonts w:eastAsia="Times New Roman"/>
                <w:sz w:val="20"/>
                <w:szCs w:val="20"/>
                <w:lang w:val="en-US"/>
              </w:rPr>
            </w:pPr>
          </w:p>
        </w:tc>
        <w:tc>
          <w:tcPr>
            <w:tcW w:w="0" w:type="auto"/>
            <w:shd w:val="clear" w:color="auto" w:fill="FFFFFF"/>
            <w:vAlign w:val="center"/>
            <w:hideMark/>
          </w:tcPr>
          <w:p w:rsidRPr="00623179" w:rsidR="00623179" w:rsidP="00623179" w:rsidRDefault="00623179">
            <w:pPr>
              <w:rPr>
                <w:rFonts w:eastAsia="Times New Roman"/>
                <w:sz w:val="20"/>
                <w:szCs w:val="20"/>
                <w:lang w:val="en-US"/>
              </w:rPr>
            </w:pPr>
          </w:p>
        </w:tc>
        <w:tc>
          <w:tcPr>
            <w:tcW w:w="0" w:type="auto"/>
            <w:shd w:val="clear" w:color="auto" w:fill="FFFFFF"/>
            <w:vAlign w:val="center"/>
            <w:hideMark/>
          </w:tcPr>
          <w:p w:rsidRPr="00623179" w:rsidR="00623179" w:rsidP="00623179" w:rsidRDefault="00623179">
            <w:pPr>
              <w:rPr>
                <w:rFonts w:eastAsia="Times New Roman"/>
                <w:sz w:val="20"/>
                <w:szCs w:val="20"/>
                <w:lang w:val="en-US"/>
              </w:rPr>
            </w:pPr>
          </w:p>
        </w:tc>
        <w:tc>
          <w:tcPr>
            <w:tcW w:w="200" w:type="pct"/>
            <w:shd w:val="clear" w:color="auto" w:fill="FFFFFF"/>
            <w:vAlign w:val="bottom"/>
            <w:hideMark/>
          </w:tcPr>
          <w:p w:rsidRPr="00623179" w:rsidR="00623179" w:rsidP="00623179" w:rsidRDefault="00623179">
            <w:pPr>
              <w:rPr>
                <w:rFonts w:eastAsia="Times New Roman"/>
                <w:sz w:val="20"/>
                <w:szCs w:val="20"/>
                <w:lang w:val="en-US"/>
              </w:rPr>
            </w:pPr>
          </w:p>
        </w:tc>
        <w:tc>
          <w:tcPr>
            <w:tcW w:w="0" w:type="auto"/>
            <w:shd w:val="clear" w:color="auto" w:fill="FFFFFF"/>
            <w:vAlign w:val="center"/>
            <w:hideMark/>
          </w:tcPr>
          <w:p w:rsidRPr="00623179" w:rsidR="00623179" w:rsidP="00623179" w:rsidRDefault="00623179">
            <w:pPr>
              <w:rPr>
                <w:rFonts w:eastAsia="Times New Roman"/>
                <w:sz w:val="20"/>
                <w:szCs w:val="20"/>
                <w:lang w:val="en-US"/>
              </w:rPr>
            </w:pPr>
          </w:p>
        </w:tc>
        <w:tc>
          <w:tcPr>
            <w:tcW w:w="0" w:type="auto"/>
            <w:shd w:val="clear" w:color="auto" w:fill="FFFFFF"/>
            <w:vAlign w:val="center"/>
            <w:hideMark/>
          </w:tcPr>
          <w:p w:rsidRPr="00623179" w:rsidR="00623179" w:rsidP="00623179" w:rsidRDefault="00623179">
            <w:pPr>
              <w:rPr>
                <w:rFonts w:eastAsia="Times New Roman"/>
                <w:sz w:val="20"/>
                <w:szCs w:val="20"/>
                <w:lang w:val="en-US"/>
              </w:rPr>
            </w:pPr>
          </w:p>
        </w:tc>
        <w:tc>
          <w:tcPr>
            <w:tcW w:w="0" w:type="auto"/>
            <w:shd w:val="clear" w:color="auto" w:fill="FFFFFF"/>
            <w:vAlign w:val="center"/>
            <w:hideMark/>
          </w:tcPr>
          <w:p w:rsidRPr="00623179" w:rsidR="00623179" w:rsidP="00623179" w:rsidRDefault="00623179">
            <w:pPr>
              <w:rPr>
                <w:rFonts w:eastAsia="Times New Roman"/>
                <w:sz w:val="20"/>
                <w:szCs w:val="20"/>
                <w:lang w:val="en-US"/>
              </w:rPr>
            </w:pPr>
          </w:p>
        </w:tc>
      </w:tr>
      <w:tr w:rsidRPr="00623179" w:rsidR="00623179" w:rsidTr="00623179">
        <w:trPr>
          <w:jc w:val="center"/>
        </w:trPr>
        <w:tc>
          <w:tcPr>
            <w:tcW w:w="0" w:type="auto"/>
            <w:shd w:val="clear" w:color="auto" w:fill="FFFFFF"/>
            <w:noWrap/>
            <w:vAlign w:val="bottom"/>
            <w:hideMark/>
          </w:tcPr>
          <w:p w:rsidRPr="00623179" w:rsidR="00623179" w:rsidP="00623179" w:rsidRDefault="00623179">
            <w:pPr>
              <w:pBdr>
                <w:bottom w:val="single" w:color="000000" w:sz="8" w:space="0"/>
              </w:pBdr>
              <w:rPr>
                <w:rFonts w:eastAsia="Times New Roman"/>
                <w:sz w:val="16"/>
                <w:szCs w:val="16"/>
                <w:lang w:val="en-US"/>
              </w:rPr>
            </w:pPr>
            <w:r w:rsidRPr="00623179">
              <w:rPr>
                <w:rFonts w:eastAsia="Times New Roman"/>
                <w:b/>
                <w:bCs/>
                <w:sz w:val="16"/>
                <w:szCs w:val="16"/>
                <w:lang w:val="en-US"/>
              </w:rPr>
              <w:t xml:space="preserve">Title of Series of </w:t>
            </w:r>
            <w:proofErr w:type="spellStart"/>
            <w:r w:rsidRPr="00623179">
              <w:rPr>
                <w:rFonts w:eastAsia="Times New Roman"/>
                <w:b/>
                <w:bCs/>
                <w:sz w:val="16"/>
                <w:szCs w:val="16"/>
                <w:lang w:val="en-US"/>
              </w:rPr>
              <w:t>MGP</w:t>
            </w:r>
            <w:proofErr w:type="spellEnd"/>
            <w:r w:rsidRPr="00623179">
              <w:rPr>
                <w:rFonts w:eastAsia="Times New Roman"/>
                <w:b/>
                <w:bCs/>
                <w:sz w:val="16"/>
                <w:szCs w:val="16"/>
                <w:lang w:val="en-US"/>
              </w:rPr>
              <w:t xml:space="preserve"> Notes</w:t>
            </w:r>
          </w:p>
        </w:tc>
        <w:tc>
          <w:tcPr>
            <w:tcW w:w="0" w:type="auto"/>
            <w:shd w:val="clear" w:color="auto" w:fill="FFFFFF"/>
            <w:vAlign w:val="bottom"/>
            <w:hideMark/>
          </w:tcPr>
          <w:p w:rsidRPr="00623179" w:rsidR="00623179" w:rsidP="00623179" w:rsidRDefault="00623179">
            <w:pPr>
              <w:rPr>
                <w:rFonts w:eastAsia="Times New Roman"/>
                <w:sz w:val="16"/>
                <w:szCs w:val="16"/>
                <w:lang w:val="en-US"/>
              </w:rPr>
            </w:pPr>
            <w:r w:rsidRPr="00623179">
              <w:rPr>
                <w:rFonts w:eastAsia="Times New Roman"/>
                <w:sz w:val="16"/>
                <w:szCs w:val="16"/>
                <w:lang w:val="en-US"/>
              </w:rPr>
              <w:t>  </w:t>
            </w:r>
          </w:p>
        </w:tc>
        <w:tc>
          <w:tcPr>
            <w:tcW w:w="0" w:type="auto"/>
            <w:gridSpan w:val="2"/>
            <w:tcBorders>
              <w:bottom w:val="single" w:color="000000" w:sz="8" w:space="0"/>
            </w:tcBorders>
            <w:shd w:val="clear" w:color="auto" w:fill="FFFFFF"/>
            <w:vAlign w:val="bottom"/>
            <w:hideMark/>
          </w:tcPr>
          <w:p w:rsidRPr="00623179" w:rsidR="00623179" w:rsidP="00623179" w:rsidRDefault="00623179">
            <w:pPr>
              <w:jc w:val="center"/>
              <w:rPr>
                <w:rFonts w:eastAsia="Times New Roman"/>
                <w:sz w:val="16"/>
                <w:szCs w:val="16"/>
                <w:lang w:val="en-US"/>
              </w:rPr>
            </w:pPr>
            <w:proofErr w:type="spellStart"/>
            <w:r w:rsidRPr="00623179">
              <w:rPr>
                <w:rFonts w:eastAsia="Times New Roman"/>
                <w:b/>
                <w:bCs/>
                <w:sz w:val="16"/>
                <w:szCs w:val="16"/>
                <w:lang w:val="en-US"/>
              </w:rPr>
              <w:t>CUSIPs</w:t>
            </w:r>
            <w:proofErr w:type="spellEnd"/>
          </w:p>
        </w:tc>
        <w:tc>
          <w:tcPr>
            <w:tcW w:w="0" w:type="auto"/>
            <w:shd w:val="clear" w:color="auto" w:fill="FFFFFF"/>
            <w:vAlign w:val="bottom"/>
            <w:hideMark/>
          </w:tcPr>
          <w:p w:rsidRPr="00623179" w:rsidR="00623179" w:rsidP="00623179" w:rsidRDefault="00623179">
            <w:pPr>
              <w:rPr>
                <w:rFonts w:eastAsia="Times New Roman"/>
                <w:sz w:val="16"/>
                <w:szCs w:val="16"/>
                <w:lang w:val="en-US"/>
              </w:rPr>
            </w:pPr>
            <w:r w:rsidRPr="00623179">
              <w:rPr>
                <w:rFonts w:eastAsia="Times New Roman"/>
                <w:sz w:val="16"/>
                <w:szCs w:val="16"/>
                <w:lang w:val="en-US"/>
              </w:rPr>
              <w:t> </w:t>
            </w:r>
          </w:p>
        </w:tc>
        <w:tc>
          <w:tcPr>
            <w:tcW w:w="0" w:type="auto"/>
            <w:shd w:val="clear" w:color="auto" w:fill="FFFFFF"/>
            <w:vAlign w:val="bottom"/>
            <w:hideMark/>
          </w:tcPr>
          <w:p w:rsidRPr="00623179" w:rsidR="00623179" w:rsidP="00623179" w:rsidRDefault="00623179">
            <w:pPr>
              <w:rPr>
                <w:rFonts w:eastAsia="Times New Roman"/>
                <w:sz w:val="16"/>
                <w:szCs w:val="16"/>
                <w:lang w:val="en-US"/>
              </w:rPr>
            </w:pPr>
            <w:r w:rsidRPr="00623179">
              <w:rPr>
                <w:rFonts w:eastAsia="Times New Roman"/>
                <w:sz w:val="16"/>
                <w:szCs w:val="16"/>
                <w:lang w:val="en-US"/>
              </w:rPr>
              <w:t>  </w:t>
            </w:r>
          </w:p>
        </w:tc>
        <w:tc>
          <w:tcPr>
            <w:tcW w:w="0" w:type="auto"/>
            <w:tcBorders>
              <w:bottom w:val="single" w:color="000000" w:sz="8" w:space="0"/>
            </w:tcBorders>
            <w:shd w:val="clear" w:color="auto" w:fill="FFFFFF"/>
            <w:vAlign w:val="bottom"/>
            <w:hideMark/>
          </w:tcPr>
          <w:p w:rsidRPr="00623179" w:rsidR="00623179" w:rsidP="00623179" w:rsidRDefault="00623179">
            <w:pPr>
              <w:jc w:val="center"/>
              <w:rPr>
                <w:rFonts w:eastAsia="Times New Roman"/>
                <w:sz w:val="16"/>
                <w:szCs w:val="16"/>
                <w:lang w:val="en-US"/>
              </w:rPr>
            </w:pPr>
            <w:r w:rsidRPr="00623179">
              <w:rPr>
                <w:rFonts w:eastAsia="Times New Roman"/>
                <w:b/>
                <w:bCs/>
                <w:sz w:val="16"/>
                <w:szCs w:val="16"/>
                <w:lang w:val="en-US"/>
              </w:rPr>
              <w:t>Series of VICI</w:t>
            </w:r>
            <w:r w:rsidRPr="00623179">
              <w:rPr>
                <w:rFonts w:eastAsia="Times New Roman"/>
                <w:b/>
                <w:bCs/>
                <w:sz w:val="16"/>
                <w:szCs w:val="16"/>
                <w:lang w:val="en-US"/>
              </w:rPr>
              <w:br/>
              <w:t>Exchange Notes</w:t>
            </w:r>
          </w:p>
        </w:tc>
        <w:tc>
          <w:tcPr>
            <w:tcW w:w="0" w:type="auto"/>
            <w:shd w:val="clear" w:color="auto" w:fill="FFFFFF"/>
            <w:vAlign w:val="bottom"/>
            <w:hideMark/>
          </w:tcPr>
          <w:p w:rsidRPr="00623179" w:rsidR="00623179" w:rsidP="00623179" w:rsidRDefault="00623179">
            <w:pPr>
              <w:rPr>
                <w:rFonts w:eastAsia="Times New Roman"/>
                <w:sz w:val="16"/>
                <w:szCs w:val="16"/>
                <w:lang w:val="en-US"/>
              </w:rPr>
            </w:pPr>
            <w:r w:rsidRPr="00623179">
              <w:rPr>
                <w:rFonts w:eastAsia="Times New Roman"/>
                <w:sz w:val="16"/>
                <w:szCs w:val="16"/>
                <w:lang w:val="en-US"/>
              </w:rPr>
              <w:t> </w:t>
            </w:r>
          </w:p>
        </w:tc>
        <w:tc>
          <w:tcPr>
            <w:tcW w:w="0" w:type="auto"/>
            <w:gridSpan w:val="2"/>
            <w:tcBorders>
              <w:bottom w:val="single" w:color="000000" w:sz="8" w:space="0"/>
            </w:tcBorders>
            <w:shd w:val="clear" w:color="auto" w:fill="FFFFFF"/>
            <w:vAlign w:val="bottom"/>
            <w:hideMark/>
          </w:tcPr>
          <w:p w:rsidRPr="00623179" w:rsidR="00623179" w:rsidP="00623179" w:rsidRDefault="00623179">
            <w:pPr>
              <w:jc w:val="center"/>
              <w:rPr>
                <w:rFonts w:eastAsia="Times New Roman"/>
                <w:sz w:val="16"/>
                <w:szCs w:val="16"/>
                <w:lang w:val="en-US"/>
              </w:rPr>
            </w:pPr>
            <w:r w:rsidRPr="00623179">
              <w:rPr>
                <w:rFonts w:eastAsia="Times New Roman"/>
                <w:b/>
                <w:bCs/>
                <w:sz w:val="16"/>
                <w:szCs w:val="16"/>
                <w:lang w:val="en-US"/>
              </w:rPr>
              <w:t>Aggregate Principal</w:t>
            </w:r>
            <w:r w:rsidRPr="00623179">
              <w:rPr>
                <w:rFonts w:eastAsia="Times New Roman"/>
                <w:b/>
                <w:bCs/>
                <w:sz w:val="16"/>
                <w:szCs w:val="16"/>
                <w:lang w:val="en-US"/>
              </w:rPr>
              <w:br/>
              <w:t>Amount</w:t>
            </w:r>
            <w:r w:rsidRPr="00623179">
              <w:rPr>
                <w:rFonts w:eastAsia="Times New Roman"/>
                <w:b/>
                <w:bCs/>
                <w:sz w:val="16"/>
                <w:szCs w:val="16"/>
                <w:lang w:val="en-US"/>
              </w:rPr>
              <w:br/>
              <w:t>Outstanding</w:t>
            </w:r>
          </w:p>
        </w:tc>
        <w:tc>
          <w:tcPr>
            <w:tcW w:w="0" w:type="auto"/>
            <w:shd w:val="clear" w:color="auto" w:fill="FFFFFF"/>
            <w:vAlign w:val="bottom"/>
            <w:hideMark/>
          </w:tcPr>
          <w:p w:rsidRPr="00623179" w:rsidR="00623179" w:rsidP="00623179" w:rsidRDefault="00623179">
            <w:pPr>
              <w:rPr>
                <w:rFonts w:eastAsia="Times New Roman"/>
                <w:sz w:val="16"/>
                <w:szCs w:val="16"/>
                <w:lang w:val="en-US"/>
              </w:rPr>
            </w:pPr>
            <w:r w:rsidRPr="00623179">
              <w:rPr>
                <w:rFonts w:eastAsia="Times New Roman"/>
                <w:sz w:val="16"/>
                <w:szCs w:val="16"/>
                <w:lang w:val="en-US"/>
              </w:rPr>
              <w:t> </w:t>
            </w:r>
          </w:p>
        </w:tc>
        <w:tc>
          <w:tcPr>
            <w:tcW w:w="0" w:type="auto"/>
            <w:shd w:val="clear" w:color="auto" w:fill="FFFFFF"/>
            <w:vAlign w:val="bottom"/>
            <w:hideMark/>
          </w:tcPr>
          <w:p w:rsidRPr="00623179" w:rsidR="00623179" w:rsidP="00623179" w:rsidRDefault="00623179">
            <w:pPr>
              <w:rPr>
                <w:rFonts w:eastAsia="Times New Roman"/>
                <w:sz w:val="16"/>
                <w:szCs w:val="16"/>
                <w:lang w:val="en-US"/>
              </w:rPr>
            </w:pPr>
            <w:r w:rsidRPr="00623179">
              <w:rPr>
                <w:rFonts w:eastAsia="Times New Roman"/>
                <w:sz w:val="16"/>
                <w:szCs w:val="16"/>
                <w:lang w:val="en-US"/>
              </w:rPr>
              <w:t>  </w:t>
            </w:r>
          </w:p>
        </w:tc>
        <w:tc>
          <w:tcPr>
            <w:tcW w:w="0" w:type="auto"/>
            <w:gridSpan w:val="6"/>
            <w:tcBorders>
              <w:bottom w:val="single" w:color="000000" w:sz="8" w:space="0"/>
            </w:tcBorders>
            <w:shd w:val="clear" w:color="auto" w:fill="FFFFFF"/>
            <w:vAlign w:val="bottom"/>
            <w:hideMark/>
          </w:tcPr>
          <w:p w:rsidRPr="00623179" w:rsidR="00623179" w:rsidP="00623179" w:rsidRDefault="00623179">
            <w:pPr>
              <w:jc w:val="center"/>
              <w:rPr>
                <w:rFonts w:eastAsia="Times New Roman"/>
                <w:sz w:val="16"/>
                <w:szCs w:val="16"/>
                <w:lang w:val="en-US"/>
              </w:rPr>
            </w:pPr>
            <w:proofErr w:type="spellStart"/>
            <w:r w:rsidRPr="00623179">
              <w:rPr>
                <w:rFonts w:eastAsia="Times New Roman"/>
                <w:b/>
                <w:bCs/>
                <w:sz w:val="16"/>
                <w:szCs w:val="16"/>
                <w:lang w:val="en-US"/>
              </w:rPr>
              <w:t>MGP</w:t>
            </w:r>
            <w:proofErr w:type="spellEnd"/>
            <w:r w:rsidRPr="00623179">
              <w:rPr>
                <w:rFonts w:eastAsia="Times New Roman"/>
                <w:b/>
                <w:bCs/>
                <w:sz w:val="16"/>
                <w:szCs w:val="16"/>
                <w:lang w:val="en-US"/>
              </w:rPr>
              <w:t xml:space="preserve"> Notes Tendered</w:t>
            </w:r>
          </w:p>
        </w:tc>
        <w:tc>
          <w:tcPr>
            <w:tcW w:w="0" w:type="auto"/>
            <w:shd w:val="clear" w:color="auto" w:fill="FFFFFF"/>
            <w:vAlign w:val="bottom"/>
            <w:hideMark/>
          </w:tcPr>
          <w:p w:rsidRPr="00623179" w:rsidR="00623179" w:rsidP="00623179" w:rsidRDefault="00623179">
            <w:pPr>
              <w:rPr>
                <w:rFonts w:eastAsia="Times New Roman"/>
                <w:sz w:val="16"/>
                <w:szCs w:val="16"/>
                <w:lang w:val="en-US"/>
              </w:rPr>
            </w:pPr>
            <w:r w:rsidRPr="00623179">
              <w:rPr>
                <w:rFonts w:eastAsia="Times New Roman"/>
                <w:sz w:val="16"/>
                <w:szCs w:val="16"/>
                <w:lang w:val="en-US"/>
              </w:rPr>
              <w:t> </w:t>
            </w:r>
          </w:p>
        </w:tc>
      </w:tr>
      <w:tr w:rsidRPr="00623179" w:rsidR="00623179" w:rsidTr="00623179">
        <w:trPr>
          <w:jc w:val="center"/>
        </w:trPr>
        <w:tc>
          <w:tcPr>
            <w:tcW w:w="0" w:type="auto"/>
            <w:shd w:val="clear" w:color="auto" w:fill="FFFFFF"/>
            <w:vAlign w:val="bottom"/>
            <w:hideMark/>
          </w:tcPr>
          <w:p w:rsidRPr="00623179" w:rsidR="00623179" w:rsidP="00623179" w:rsidRDefault="00623179">
            <w:pPr>
              <w:rPr>
                <w:rFonts w:eastAsia="Times New Roman"/>
                <w:sz w:val="16"/>
                <w:szCs w:val="16"/>
                <w:lang w:val="en-US"/>
              </w:rPr>
            </w:pPr>
            <w:r w:rsidRPr="00623179">
              <w:rPr>
                <w:rFonts w:eastAsia="Times New Roman"/>
                <w:sz w:val="16"/>
                <w:szCs w:val="16"/>
                <w:lang w:val="en-US"/>
              </w:rPr>
              <w:t> </w:t>
            </w:r>
          </w:p>
        </w:tc>
        <w:tc>
          <w:tcPr>
            <w:tcW w:w="0" w:type="auto"/>
            <w:shd w:val="clear" w:color="auto" w:fill="FFFFFF"/>
            <w:vAlign w:val="bottom"/>
            <w:hideMark/>
          </w:tcPr>
          <w:p w:rsidRPr="00623179" w:rsidR="00623179" w:rsidP="00623179" w:rsidRDefault="00623179">
            <w:pPr>
              <w:rPr>
                <w:rFonts w:eastAsia="Times New Roman"/>
                <w:sz w:val="16"/>
                <w:szCs w:val="16"/>
                <w:lang w:val="en-US"/>
              </w:rPr>
            </w:pPr>
            <w:r w:rsidRPr="00623179">
              <w:rPr>
                <w:rFonts w:eastAsia="Times New Roman"/>
                <w:sz w:val="16"/>
                <w:szCs w:val="16"/>
                <w:lang w:val="en-US"/>
              </w:rPr>
              <w:t>  </w:t>
            </w:r>
          </w:p>
        </w:tc>
        <w:tc>
          <w:tcPr>
            <w:tcW w:w="0" w:type="auto"/>
            <w:gridSpan w:val="2"/>
            <w:shd w:val="clear" w:color="auto" w:fill="FFFFFF"/>
            <w:vAlign w:val="bottom"/>
            <w:hideMark/>
          </w:tcPr>
          <w:p w:rsidRPr="00623179" w:rsidR="00623179" w:rsidP="00623179" w:rsidRDefault="00623179">
            <w:pPr>
              <w:rPr>
                <w:rFonts w:eastAsia="Times New Roman"/>
                <w:sz w:val="16"/>
                <w:szCs w:val="16"/>
                <w:lang w:val="en-US"/>
              </w:rPr>
            </w:pPr>
            <w:r w:rsidRPr="00623179">
              <w:rPr>
                <w:rFonts w:eastAsia="Times New Roman"/>
                <w:sz w:val="16"/>
                <w:szCs w:val="16"/>
                <w:lang w:val="en-US"/>
              </w:rPr>
              <w:t> </w:t>
            </w:r>
          </w:p>
        </w:tc>
        <w:tc>
          <w:tcPr>
            <w:tcW w:w="0" w:type="auto"/>
            <w:shd w:val="clear" w:color="auto" w:fill="FFFFFF"/>
            <w:vAlign w:val="bottom"/>
            <w:hideMark/>
          </w:tcPr>
          <w:p w:rsidRPr="00623179" w:rsidR="00623179" w:rsidP="00623179" w:rsidRDefault="00623179">
            <w:pPr>
              <w:rPr>
                <w:rFonts w:eastAsia="Times New Roman"/>
                <w:sz w:val="16"/>
                <w:szCs w:val="16"/>
                <w:lang w:val="en-US"/>
              </w:rPr>
            </w:pPr>
            <w:r w:rsidRPr="00623179">
              <w:rPr>
                <w:rFonts w:eastAsia="Times New Roman"/>
                <w:sz w:val="16"/>
                <w:szCs w:val="16"/>
                <w:lang w:val="en-US"/>
              </w:rPr>
              <w:t> </w:t>
            </w:r>
          </w:p>
        </w:tc>
        <w:tc>
          <w:tcPr>
            <w:tcW w:w="0" w:type="auto"/>
            <w:shd w:val="clear" w:color="auto" w:fill="FFFFFF"/>
            <w:vAlign w:val="bottom"/>
            <w:hideMark/>
          </w:tcPr>
          <w:p w:rsidRPr="00623179" w:rsidR="00623179" w:rsidP="00623179" w:rsidRDefault="00623179">
            <w:pPr>
              <w:rPr>
                <w:rFonts w:eastAsia="Times New Roman"/>
                <w:sz w:val="16"/>
                <w:szCs w:val="16"/>
                <w:lang w:val="en-US"/>
              </w:rPr>
            </w:pPr>
            <w:r w:rsidRPr="00623179">
              <w:rPr>
                <w:rFonts w:eastAsia="Times New Roman"/>
                <w:sz w:val="16"/>
                <w:szCs w:val="16"/>
                <w:lang w:val="en-US"/>
              </w:rPr>
              <w:t>  </w:t>
            </w:r>
          </w:p>
        </w:tc>
        <w:tc>
          <w:tcPr>
            <w:tcW w:w="0" w:type="auto"/>
            <w:shd w:val="clear" w:color="auto" w:fill="FFFFFF"/>
            <w:vAlign w:val="bottom"/>
            <w:hideMark/>
          </w:tcPr>
          <w:p w:rsidRPr="00623179" w:rsidR="00623179" w:rsidP="00623179" w:rsidRDefault="00623179">
            <w:pPr>
              <w:rPr>
                <w:rFonts w:eastAsia="Times New Roman"/>
                <w:sz w:val="16"/>
                <w:szCs w:val="16"/>
                <w:lang w:val="en-US"/>
              </w:rPr>
            </w:pPr>
            <w:r w:rsidRPr="00623179">
              <w:rPr>
                <w:rFonts w:eastAsia="Times New Roman"/>
                <w:sz w:val="16"/>
                <w:szCs w:val="16"/>
                <w:lang w:val="en-US"/>
              </w:rPr>
              <w:t> </w:t>
            </w:r>
          </w:p>
        </w:tc>
        <w:tc>
          <w:tcPr>
            <w:tcW w:w="0" w:type="auto"/>
            <w:shd w:val="clear" w:color="auto" w:fill="FFFFFF"/>
            <w:vAlign w:val="bottom"/>
            <w:hideMark/>
          </w:tcPr>
          <w:p w:rsidRPr="00623179" w:rsidR="00623179" w:rsidP="00623179" w:rsidRDefault="00623179">
            <w:pPr>
              <w:rPr>
                <w:rFonts w:eastAsia="Times New Roman"/>
                <w:sz w:val="16"/>
                <w:szCs w:val="16"/>
                <w:lang w:val="en-US"/>
              </w:rPr>
            </w:pPr>
            <w:r w:rsidRPr="00623179">
              <w:rPr>
                <w:rFonts w:eastAsia="Times New Roman"/>
                <w:sz w:val="16"/>
                <w:szCs w:val="16"/>
                <w:lang w:val="en-US"/>
              </w:rPr>
              <w:t> </w:t>
            </w:r>
          </w:p>
        </w:tc>
        <w:tc>
          <w:tcPr>
            <w:tcW w:w="0" w:type="auto"/>
            <w:gridSpan w:val="2"/>
            <w:shd w:val="clear" w:color="auto" w:fill="FFFFFF"/>
            <w:vAlign w:val="bottom"/>
            <w:hideMark/>
          </w:tcPr>
          <w:p w:rsidRPr="00623179" w:rsidR="00623179" w:rsidP="00623179" w:rsidRDefault="00623179">
            <w:pPr>
              <w:rPr>
                <w:rFonts w:eastAsia="Times New Roman"/>
                <w:sz w:val="16"/>
                <w:szCs w:val="16"/>
                <w:lang w:val="en-US"/>
              </w:rPr>
            </w:pPr>
            <w:r w:rsidRPr="00623179">
              <w:rPr>
                <w:rFonts w:eastAsia="Times New Roman"/>
                <w:sz w:val="16"/>
                <w:szCs w:val="16"/>
                <w:lang w:val="en-US"/>
              </w:rPr>
              <w:t> </w:t>
            </w:r>
          </w:p>
        </w:tc>
        <w:tc>
          <w:tcPr>
            <w:tcW w:w="0" w:type="auto"/>
            <w:shd w:val="clear" w:color="auto" w:fill="FFFFFF"/>
            <w:vAlign w:val="bottom"/>
            <w:hideMark/>
          </w:tcPr>
          <w:p w:rsidRPr="00623179" w:rsidR="00623179" w:rsidP="00623179" w:rsidRDefault="00623179">
            <w:pPr>
              <w:rPr>
                <w:rFonts w:eastAsia="Times New Roman"/>
                <w:sz w:val="16"/>
                <w:szCs w:val="16"/>
                <w:lang w:val="en-US"/>
              </w:rPr>
            </w:pPr>
            <w:r w:rsidRPr="00623179">
              <w:rPr>
                <w:rFonts w:eastAsia="Times New Roman"/>
                <w:sz w:val="16"/>
                <w:szCs w:val="16"/>
                <w:lang w:val="en-US"/>
              </w:rPr>
              <w:t> </w:t>
            </w:r>
          </w:p>
        </w:tc>
        <w:tc>
          <w:tcPr>
            <w:tcW w:w="0" w:type="auto"/>
            <w:shd w:val="clear" w:color="auto" w:fill="FFFFFF"/>
            <w:vAlign w:val="bottom"/>
            <w:hideMark/>
          </w:tcPr>
          <w:p w:rsidRPr="00623179" w:rsidR="00623179" w:rsidP="00623179" w:rsidRDefault="00623179">
            <w:pPr>
              <w:rPr>
                <w:rFonts w:eastAsia="Times New Roman"/>
                <w:sz w:val="16"/>
                <w:szCs w:val="16"/>
                <w:lang w:val="en-US"/>
              </w:rPr>
            </w:pPr>
            <w:r w:rsidRPr="00623179">
              <w:rPr>
                <w:rFonts w:eastAsia="Times New Roman"/>
                <w:sz w:val="16"/>
                <w:szCs w:val="16"/>
                <w:lang w:val="en-US"/>
              </w:rPr>
              <w:t>  </w:t>
            </w:r>
          </w:p>
        </w:tc>
        <w:tc>
          <w:tcPr>
            <w:tcW w:w="0" w:type="auto"/>
            <w:gridSpan w:val="2"/>
            <w:tcBorders>
              <w:bottom w:val="single" w:color="000000" w:sz="8" w:space="0"/>
            </w:tcBorders>
            <w:shd w:val="clear" w:color="auto" w:fill="FFFFFF"/>
            <w:vAlign w:val="bottom"/>
            <w:hideMark/>
          </w:tcPr>
          <w:p w:rsidRPr="00623179" w:rsidR="00623179" w:rsidP="00623179" w:rsidRDefault="00623179">
            <w:pPr>
              <w:jc w:val="center"/>
              <w:rPr>
                <w:rFonts w:eastAsia="Times New Roman"/>
                <w:sz w:val="16"/>
                <w:szCs w:val="16"/>
                <w:lang w:val="en-US"/>
              </w:rPr>
            </w:pPr>
            <w:r w:rsidRPr="00623179">
              <w:rPr>
                <w:rFonts w:eastAsia="Times New Roman"/>
                <w:b/>
                <w:bCs/>
                <w:sz w:val="16"/>
                <w:szCs w:val="16"/>
                <w:lang w:val="en-US"/>
              </w:rPr>
              <w:t>Principal Amount</w:t>
            </w:r>
          </w:p>
        </w:tc>
        <w:tc>
          <w:tcPr>
            <w:tcW w:w="0" w:type="auto"/>
            <w:shd w:val="clear" w:color="auto" w:fill="FFFFFF"/>
            <w:vAlign w:val="bottom"/>
            <w:hideMark/>
          </w:tcPr>
          <w:p w:rsidRPr="00623179" w:rsidR="00623179" w:rsidP="00623179" w:rsidRDefault="00623179">
            <w:pPr>
              <w:rPr>
                <w:rFonts w:eastAsia="Times New Roman"/>
                <w:sz w:val="16"/>
                <w:szCs w:val="16"/>
                <w:lang w:val="en-US"/>
              </w:rPr>
            </w:pPr>
            <w:r w:rsidRPr="00623179">
              <w:rPr>
                <w:rFonts w:eastAsia="Times New Roman"/>
                <w:sz w:val="16"/>
                <w:szCs w:val="16"/>
                <w:lang w:val="en-US"/>
              </w:rPr>
              <w:t> </w:t>
            </w:r>
          </w:p>
        </w:tc>
        <w:tc>
          <w:tcPr>
            <w:tcW w:w="0" w:type="auto"/>
            <w:shd w:val="clear" w:color="auto" w:fill="FFFFFF"/>
            <w:vAlign w:val="bottom"/>
            <w:hideMark/>
          </w:tcPr>
          <w:p w:rsidRPr="00623179" w:rsidR="00623179" w:rsidP="00623179" w:rsidRDefault="00623179">
            <w:pPr>
              <w:rPr>
                <w:rFonts w:eastAsia="Times New Roman"/>
                <w:sz w:val="16"/>
                <w:szCs w:val="16"/>
                <w:lang w:val="en-US"/>
              </w:rPr>
            </w:pPr>
            <w:r w:rsidRPr="00623179">
              <w:rPr>
                <w:rFonts w:eastAsia="Times New Roman"/>
                <w:sz w:val="16"/>
                <w:szCs w:val="16"/>
                <w:lang w:val="en-US"/>
              </w:rPr>
              <w:t>  </w:t>
            </w:r>
          </w:p>
        </w:tc>
        <w:tc>
          <w:tcPr>
            <w:tcW w:w="0" w:type="auto"/>
            <w:gridSpan w:val="2"/>
            <w:tcBorders>
              <w:bottom w:val="single" w:color="000000" w:sz="8" w:space="0"/>
            </w:tcBorders>
            <w:shd w:val="clear" w:color="auto" w:fill="FFFFFF"/>
            <w:vAlign w:val="bottom"/>
            <w:hideMark/>
          </w:tcPr>
          <w:p w:rsidRPr="00623179" w:rsidR="00623179" w:rsidP="00623179" w:rsidRDefault="00623179">
            <w:pPr>
              <w:jc w:val="center"/>
              <w:rPr>
                <w:rFonts w:eastAsia="Times New Roman"/>
                <w:sz w:val="16"/>
                <w:szCs w:val="16"/>
                <w:lang w:val="en-US"/>
              </w:rPr>
            </w:pPr>
            <w:r w:rsidRPr="00623179">
              <w:rPr>
                <w:rFonts w:eastAsia="Times New Roman"/>
                <w:b/>
                <w:bCs/>
                <w:sz w:val="16"/>
                <w:szCs w:val="16"/>
                <w:lang w:val="en-US"/>
              </w:rPr>
              <w:t>Percentage</w:t>
            </w:r>
          </w:p>
        </w:tc>
        <w:tc>
          <w:tcPr>
            <w:tcW w:w="0" w:type="auto"/>
            <w:shd w:val="clear" w:color="auto" w:fill="FFFFFF"/>
            <w:vAlign w:val="bottom"/>
            <w:hideMark/>
          </w:tcPr>
          <w:p w:rsidRPr="00623179" w:rsidR="00623179" w:rsidP="00623179" w:rsidRDefault="00623179">
            <w:pPr>
              <w:rPr>
                <w:rFonts w:eastAsia="Times New Roman"/>
                <w:sz w:val="16"/>
                <w:szCs w:val="16"/>
                <w:lang w:val="en-US"/>
              </w:rPr>
            </w:pPr>
            <w:r w:rsidRPr="00623179">
              <w:rPr>
                <w:rFonts w:eastAsia="Times New Roman"/>
                <w:sz w:val="16"/>
                <w:szCs w:val="16"/>
                <w:lang w:val="en-US"/>
              </w:rPr>
              <w:t> </w:t>
            </w:r>
          </w:p>
        </w:tc>
      </w:tr>
      <w:tr w:rsidRPr="00623179" w:rsidR="00623179" w:rsidTr="00623179">
        <w:trPr>
          <w:jc w:val="center"/>
        </w:trPr>
        <w:tc>
          <w:tcPr>
            <w:tcW w:w="0" w:type="auto"/>
            <w:shd w:val="clear" w:color="auto" w:fill="CCEEFF"/>
            <w:hideMark/>
          </w:tcPr>
          <w:p w:rsidRPr="00623179" w:rsidR="00623179" w:rsidP="00623179" w:rsidRDefault="00623179">
            <w:pPr>
              <w:ind w:left="240" w:hanging="240"/>
              <w:rPr>
                <w:rFonts w:eastAsia="Times New Roman"/>
                <w:sz w:val="20"/>
                <w:szCs w:val="20"/>
                <w:lang w:val="en-US"/>
              </w:rPr>
            </w:pPr>
            <w:r w:rsidRPr="00623179">
              <w:rPr>
                <w:rFonts w:eastAsia="Times New Roman"/>
                <w:sz w:val="20"/>
                <w:szCs w:val="20"/>
                <w:lang w:val="en-US"/>
              </w:rPr>
              <w:t>5.625% Senior Notes due 2024</w:t>
            </w:r>
          </w:p>
        </w:tc>
        <w:tc>
          <w:tcPr>
            <w:tcW w:w="0" w:type="auto"/>
            <w:shd w:val="clear" w:color="auto" w:fill="CCEEFF"/>
            <w:vAlign w:val="bottom"/>
            <w:hideMark/>
          </w:tcPr>
          <w:p w:rsidRPr="00623179" w:rsidR="00623179" w:rsidP="00623179" w:rsidRDefault="00623179">
            <w:pPr>
              <w:rPr>
                <w:rFonts w:eastAsia="Times New Roman"/>
                <w:sz w:val="20"/>
                <w:szCs w:val="20"/>
                <w:lang w:val="en-US"/>
              </w:rPr>
            </w:pPr>
            <w:r w:rsidRPr="00623179">
              <w:rPr>
                <w:rFonts w:eastAsia="Times New Roman"/>
                <w:sz w:val="20"/>
                <w:szCs w:val="20"/>
                <w:lang w:val="en-US"/>
              </w:rPr>
              <w:t>  </w:t>
            </w:r>
          </w:p>
        </w:tc>
        <w:tc>
          <w:tcPr>
            <w:tcW w:w="0" w:type="auto"/>
            <w:shd w:val="clear" w:color="auto" w:fill="CCEEFF"/>
            <w:noWrap/>
            <w:hideMark/>
          </w:tcPr>
          <w:p w:rsidRPr="00623179" w:rsidR="00623179" w:rsidP="00623179" w:rsidRDefault="00623179">
            <w:pPr>
              <w:spacing w:after="240"/>
              <w:rPr>
                <w:rFonts w:eastAsia="Times New Roman"/>
                <w:sz w:val="20"/>
                <w:szCs w:val="20"/>
                <w:lang w:val="en-US"/>
              </w:rPr>
            </w:pPr>
            <w:r w:rsidRPr="00623179">
              <w:rPr>
                <w:rFonts w:eastAsia="Times New Roman"/>
                <w:sz w:val="20"/>
                <w:szCs w:val="20"/>
                <w:lang w:val="en-US"/>
              </w:rPr>
              <w:t> </w:t>
            </w:r>
          </w:p>
        </w:tc>
        <w:tc>
          <w:tcPr>
            <w:tcW w:w="0" w:type="auto"/>
            <w:shd w:val="clear" w:color="auto" w:fill="CCEEFF"/>
            <w:noWrap/>
            <w:hideMark/>
          </w:tcPr>
          <w:p w:rsidRPr="00623179" w:rsidR="00623179" w:rsidP="00623179" w:rsidRDefault="00623179">
            <w:pPr>
              <w:jc w:val="right"/>
              <w:rPr>
                <w:rFonts w:eastAsia="Times New Roman"/>
                <w:sz w:val="20"/>
                <w:szCs w:val="20"/>
                <w:lang w:val="en-US"/>
              </w:rPr>
            </w:pPr>
            <w:r w:rsidRPr="00623179">
              <w:rPr>
                <w:rFonts w:eastAsia="Times New Roman"/>
                <w:sz w:val="20"/>
                <w:szCs w:val="20"/>
                <w:lang w:val="en-US"/>
              </w:rPr>
              <w:t>55303WAA5 /</w:t>
            </w:r>
            <w:r w:rsidRPr="00623179">
              <w:rPr>
                <w:rFonts w:eastAsia="Times New Roman"/>
                <w:sz w:val="20"/>
                <w:szCs w:val="20"/>
                <w:lang w:val="en-US"/>
              </w:rPr>
              <w:br/>
              <w:t>55303XAC9 /</w:t>
            </w:r>
            <w:r w:rsidRPr="00623179">
              <w:rPr>
                <w:rFonts w:eastAsia="Times New Roman"/>
                <w:sz w:val="20"/>
                <w:szCs w:val="20"/>
                <w:lang w:val="en-US"/>
              </w:rPr>
              <w:br/>
              <w:t>U5930AAA6</w:t>
            </w:r>
          </w:p>
        </w:tc>
        <w:tc>
          <w:tcPr>
            <w:tcW w:w="0" w:type="auto"/>
            <w:shd w:val="clear" w:color="auto" w:fill="CCEEFF"/>
            <w:noWrap/>
            <w:hideMark/>
          </w:tcPr>
          <w:p w:rsidRPr="00623179" w:rsidR="00623179" w:rsidP="00623179" w:rsidRDefault="00623179">
            <w:pPr>
              <w:rPr>
                <w:rFonts w:eastAsia="Times New Roman"/>
                <w:sz w:val="20"/>
                <w:szCs w:val="20"/>
                <w:lang w:val="en-US"/>
              </w:rPr>
            </w:pPr>
            <w:r w:rsidRPr="00623179">
              <w:rPr>
                <w:rFonts w:eastAsia="Times New Roman"/>
                <w:sz w:val="20"/>
                <w:szCs w:val="20"/>
                <w:lang w:val="en-US"/>
              </w:rPr>
              <w:t> </w:t>
            </w:r>
            <w:r w:rsidRPr="00623179">
              <w:rPr>
                <w:rFonts w:eastAsia="Times New Roman"/>
                <w:sz w:val="20"/>
                <w:szCs w:val="20"/>
                <w:lang w:val="en-US"/>
              </w:rPr>
              <w:br/>
              <w:t> </w:t>
            </w:r>
            <w:r w:rsidRPr="00623179">
              <w:rPr>
                <w:rFonts w:eastAsia="Times New Roman"/>
                <w:sz w:val="20"/>
                <w:szCs w:val="20"/>
                <w:lang w:val="en-US"/>
              </w:rPr>
              <w:br/>
              <w:t> </w:t>
            </w:r>
          </w:p>
        </w:tc>
        <w:tc>
          <w:tcPr>
            <w:tcW w:w="0" w:type="auto"/>
            <w:shd w:val="clear" w:color="auto" w:fill="CCEEFF"/>
            <w:vAlign w:val="bottom"/>
            <w:hideMark/>
          </w:tcPr>
          <w:p w:rsidRPr="00623179" w:rsidR="00623179" w:rsidP="00623179" w:rsidRDefault="00623179">
            <w:pPr>
              <w:rPr>
                <w:rFonts w:eastAsia="Times New Roman"/>
                <w:sz w:val="20"/>
                <w:szCs w:val="20"/>
                <w:lang w:val="en-US"/>
              </w:rPr>
            </w:pPr>
            <w:r w:rsidRPr="00623179">
              <w:rPr>
                <w:rFonts w:eastAsia="Times New Roman"/>
                <w:sz w:val="20"/>
                <w:szCs w:val="20"/>
                <w:lang w:val="en-US"/>
              </w:rPr>
              <w:t>  </w:t>
            </w:r>
          </w:p>
        </w:tc>
        <w:tc>
          <w:tcPr>
            <w:tcW w:w="0" w:type="auto"/>
            <w:shd w:val="clear" w:color="auto" w:fill="CCEEFF"/>
            <w:noWrap/>
            <w:hideMark/>
          </w:tcPr>
          <w:p w:rsidRPr="00623179" w:rsidR="00623179" w:rsidP="00623179" w:rsidRDefault="00623179">
            <w:pPr>
              <w:rPr>
                <w:rFonts w:eastAsia="Times New Roman"/>
                <w:sz w:val="20"/>
                <w:szCs w:val="20"/>
                <w:lang w:val="en-US"/>
              </w:rPr>
            </w:pPr>
            <w:r w:rsidRPr="00623179">
              <w:rPr>
                <w:rFonts w:eastAsia="Times New Roman"/>
                <w:sz w:val="20"/>
                <w:szCs w:val="20"/>
                <w:lang w:val="en-US"/>
              </w:rPr>
              <w:t>VICI 5.625%</w:t>
            </w:r>
            <w:r w:rsidRPr="00623179">
              <w:rPr>
                <w:rFonts w:eastAsia="Times New Roman"/>
                <w:sz w:val="20"/>
                <w:szCs w:val="20"/>
                <w:lang w:val="en-US"/>
              </w:rPr>
              <w:br/>
              <w:t>Senior Notes due</w:t>
            </w:r>
            <w:r w:rsidRPr="00623179">
              <w:rPr>
                <w:rFonts w:eastAsia="Times New Roman"/>
                <w:sz w:val="20"/>
                <w:szCs w:val="20"/>
                <w:lang w:val="en-US"/>
              </w:rPr>
              <w:br/>
              <w:t>2024</w:t>
            </w:r>
          </w:p>
        </w:tc>
        <w:tc>
          <w:tcPr>
            <w:tcW w:w="0" w:type="auto"/>
            <w:shd w:val="clear" w:color="auto" w:fill="CCEEFF"/>
            <w:vAlign w:val="bottom"/>
            <w:hideMark/>
          </w:tcPr>
          <w:p w:rsidRPr="00623179" w:rsidR="00623179" w:rsidP="00623179" w:rsidRDefault="00623179">
            <w:pPr>
              <w:rPr>
                <w:rFonts w:eastAsia="Times New Roman"/>
                <w:sz w:val="20"/>
                <w:szCs w:val="20"/>
                <w:lang w:val="en-US"/>
              </w:rPr>
            </w:pPr>
            <w:r w:rsidRPr="00623179">
              <w:rPr>
                <w:rFonts w:eastAsia="Times New Roman"/>
                <w:sz w:val="20"/>
                <w:szCs w:val="20"/>
                <w:lang w:val="en-US"/>
              </w:rPr>
              <w:t> </w:t>
            </w:r>
          </w:p>
        </w:tc>
        <w:tc>
          <w:tcPr>
            <w:tcW w:w="0" w:type="auto"/>
            <w:shd w:val="clear" w:color="auto" w:fill="CCEEFF"/>
            <w:noWrap/>
            <w:hideMark/>
          </w:tcPr>
          <w:p w:rsidRPr="00623179" w:rsidR="00623179" w:rsidP="00623179" w:rsidRDefault="00623179">
            <w:pPr>
              <w:rPr>
                <w:rFonts w:eastAsia="Times New Roman"/>
                <w:sz w:val="20"/>
                <w:szCs w:val="20"/>
                <w:lang w:val="en-US"/>
              </w:rPr>
            </w:pPr>
            <w:r w:rsidRPr="00623179">
              <w:rPr>
                <w:rFonts w:eastAsia="Times New Roman"/>
                <w:sz w:val="20"/>
                <w:szCs w:val="20"/>
                <w:lang w:val="en-US"/>
              </w:rPr>
              <w:t>$</w:t>
            </w:r>
          </w:p>
        </w:tc>
        <w:tc>
          <w:tcPr>
            <w:tcW w:w="0" w:type="auto"/>
            <w:shd w:val="clear" w:color="auto" w:fill="CCEEFF"/>
            <w:noWrap/>
            <w:hideMark/>
          </w:tcPr>
          <w:p w:rsidRPr="00623179" w:rsidR="00623179" w:rsidP="00623179" w:rsidRDefault="00623179">
            <w:pPr>
              <w:jc w:val="right"/>
              <w:rPr>
                <w:rFonts w:eastAsia="Times New Roman"/>
                <w:sz w:val="20"/>
                <w:szCs w:val="20"/>
                <w:lang w:val="en-US"/>
              </w:rPr>
            </w:pPr>
            <w:r w:rsidRPr="00623179">
              <w:rPr>
                <w:rFonts w:eastAsia="Times New Roman"/>
                <w:sz w:val="20"/>
                <w:szCs w:val="20"/>
                <w:lang w:val="en-US"/>
              </w:rPr>
              <w:t>1,050,000,000</w:t>
            </w:r>
          </w:p>
        </w:tc>
        <w:tc>
          <w:tcPr>
            <w:tcW w:w="0" w:type="auto"/>
            <w:shd w:val="clear" w:color="auto" w:fill="CCEEFF"/>
            <w:noWrap/>
            <w:hideMark/>
          </w:tcPr>
          <w:p w:rsidRPr="00623179" w:rsidR="00623179" w:rsidP="00623179" w:rsidRDefault="00623179">
            <w:pPr>
              <w:rPr>
                <w:rFonts w:eastAsia="Times New Roman"/>
                <w:sz w:val="20"/>
                <w:szCs w:val="20"/>
                <w:lang w:val="en-US"/>
              </w:rPr>
            </w:pPr>
            <w:r w:rsidRPr="00623179">
              <w:rPr>
                <w:rFonts w:eastAsia="Times New Roman"/>
                <w:sz w:val="20"/>
                <w:szCs w:val="20"/>
                <w:lang w:val="en-US"/>
              </w:rPr>
              <w:t> </w:t>
            </w:r>
          </w:p>
        </w:tc>
        <w:tc>
          <w:tcPr>
            <w:tcW w:w="0" w:type="auto"/>
            <w:shd w:val="clear" w:color="auto" w:fill="CCEEFF"/>
            <w:vAlign w:val="bottom"/>
            <w:hideMark/>
          </w:tcPr>
          <w:p w:rsidRPr="00623179" w:rsidR="00623179" w:rsidP="00623179" w:rsidRDefault="00623179">
            <w:pPr>
              <w:rPr>
                <w:rFonts w:eastAsia="Times New Roman"/>
                <w:sz w:val="20"/>
                <w:szCs w:val="20"/>
                <w:lang w:val="en-US"/>
              </w:rPr>
            </w:pPr>
            <w:r w:rsidRPr="00623179">
              <w:rPr>
                <w:rFonts w:eastAsia="Times New Roman"/>
                <w:sz w:val="20"/>
                <w:szCs w:val="20"/>
                <w:lang w:val="en-US"/>
              </w:rPr>
              <w:t>  </w:t>
            </w:r>
          </w:p>
        </w:tc>
        <w:tc>
          <w:tcPr>
            <w:tcW w:w="0" w:type="auto"/>
            <w:shd w:val="clear" w:color="auto" w:fill="CCEEFF"/>
            <w:noWrap/>
            <w:hideMark/>
          </w:tcPr>
          <w:p w:rsidRPr="00623179" w:rsidR="00623179" w:rsidP="00623179" w:rsidRDefault="00623179">
            <w:pPr>
              <w:rPr>
                <w:rFonts w:eastAsia="Times New Roman"/>
                <w:sz w:val="20"/>
                <w:szCs w:val="20"/>
                <w:lang w:val="en-US"/>
              </w:rPr>
            </w:pPr>
            <w:r w:rsidRPr="00623179">
              <w:rPr>
                <w:rFonts w:eastAsia="Times New Roman"/>
                <w:sz w:val="20"/>
                <w:szCs w:val="20"/>
                <w:lang w:val="en-US"/>
              </w:rPr>
              <w:t>$</w:t>
            </w:r>
          </w:p>
        </w:tc>
        <w:tc>
          <w:tcPr>
            <w:tcW w:w="0" w:type="auto"/>
            <w:shd w:val="clear" w:color="auto" w:fill="CCEEFF"/>
            <w:noWrap/>
            <w:hideMark/>
          </w:tcPr>
          <w:p w:rsidRPr="00623179" w:rsidR="00623179" w:rsidP="00623179" w:rsidRDefault="00623179">
            <w:pPr>
              <w:jc w:val="right"/>
              <w:rPr>
                <w:rFonts w:eastAsia="Times New Roman"/>
                <w:sz w:val="20"/>
                <w:szCs w:val="20"/>
                <w:lang w:val="en-US"/>
              </w:rPr>
            </w:pPr>
            <w:r w:rsidRPr="00623179">
              <w:rPr>
                <w:rFonts w:eastAsia="Times New Roman"/>
                <w:sz w:val="20"/>
                <w:szCs w:val="20"/>
                <w:lang w:val="en-US"/>
              </w:rPr>
              <w:t>1,024,169,000</w:t>
            </w:r>
          </w:p>
        </w:tc>
        <w:tc>
          <w:tcPr>
            <w:tcW w:w="0" w:type="auto"/>
            <w:shd w:val="clear" w:color="auto" w:fill="CCEEFF"/>
            <w:noWrap/>
            <w:hideMark/>
          </w:tcPr>
          <w:p w:rsidRPr="00623179" w:rsidR="00623179" w:rsidP="00623179" w:rsidRDefault="00623179">
            <w:pPr>
              <w:rPr>
                <w:rFonts w:eastAsia="Times New Roman"/>
                <w:sz w:val="20"/>
                <w:szCs w:val="20"/>
                <w:lang w:val="en-US"/>
              </w:rPr>
            </w:pPr>
            <w:r w:rsidRPr="00623179">
              <w:rPr>
                <w:rFonts w:eastAsia="Times New Roman"/>
                <w:sz w:val="20"/>
                <w:szCs w:val="20"/>
                <w:lang w:val="en-US"/>
              </w:rPr>
              <w:t> </w:t>
            </w:r>
          </w:p>
        </w:tc>
        <w:tc>
          <w:tcPr>
            <w:tcW w:w="0" w:type="auto"/>
            <w:shd w:val="clear" w:color="auto" w:fill="CCEEFF"/>
            <w:vAlign w:val="bottom"/>
            <w:hideMark/>
          </w:tcPr>
          <w:p w:rsidRPr="00623179" w:rsidR="00623179" w:rsidP="00623179" w:rsidRDefault="00623179">
            <w:pPr>
              <w:rPr>
                <w:rFonts w:eastAsia="Times New Roman"/>
                <w:sz w:val="20"/>
                <w:szCs w:val="20"/>
                <w:lang w:val="en-US"/>
              </w:rPr>
            </w:pPr>
            <w:r w:rsidRPr="00623179">
              <w:rPr>
                <w:rFonts w:eastAsia="Times New Roman"/>
                <w:sz w:val="20"/>
                <w:szCs w:val="20"/>
                <w:lang w:val="en-US"/>
              </w:rPr>
              <w:t>  </w:t>
            </w:r>
          </w:p>
        </w:tc>
        <w:tc>
          <w:tcPr>
            <w:tcW w:w="0" w:type="auto"/>
            <w:shd w:val="clear" w:color="auto" w:fill="CCEEFF"/>
            <w:noWrap/>
            <w:hideMark/>
          </w:tcPr>
          <w:p w:rsidRPr="00623179" w:rsidR="00623179" w:rsidP="00623179" w:rsidRDefault="00623179">
            <w:pPr>
              <w:rPr>
                <w:rFonts w:eastAsia="Times New Roman"/>
                <w:sz w:val="20"/>
                <w:szCs w:val="20"/>
                <w:lang w:val="en-US"/>
              </w:rPr>
            </w:pPr>
            <w:r w:rsidRPr="00623179">
              <w:rPr>
                <w:rFonts w:eastAsia="Times New Roman"/>
                <w:sz w:val="20"/>
                <w:szCs w:val="20"/>
                <w:lang w:val="en-US"/>
              </w:rPr>
              <w:t> </w:t>
            </w:r>
          </w:p>
        </w:tc>
        <w:tc>
          <w:tcPr>
            <w:tcW w:w="0" w:type="auto"/>
            <w:shd w:val="clear" w:color="auto" w:fill="CCEEFF"/>
            <w:noWrap/>
            <w:hideMark/>
          </w:tcPr>
          <w:p w:rsidRPr="00623179" w:rsidR="00623179" w:rsidP="00623179" w:rsidRDefault="00623179">
            <w:pPr>
              <w:jc w:val="right"/>
              <w:rPr>
                <w:rFonts w:eastAsia="Times New Roman"/>
                <w:sz w:val="20"/>
                <w:szCs w:val="20"/>
                <w:lang w:val="en-US"/>
              </w:rPr>
            </w:pPr>
            <w:r w:rsidRPr="00623179">
              <w:rPr>
                <w:rFonts w:eastAsia="Times New Roman"/>
                <w:sz w:val="20"/>
                <w:szCs w:val="20"/>
                <w:lang w:val="en-US"/>
              </w:rPr>
              <w:t>97.54</w:t>
            </w:r>
          </w:p>
        </w:tc>
        <w:tc>
          <w:tcPr>
            <w:tcW w:w="0" w:type="auto"/>
            <w:shd w:val="clear" w:color="auto" w:fill="CCEEFF"/>
            <w:noWrap/>
            <w:hideMark/>
          </w:tcPr>
          <w:p w:rsidRPr="00623179" w:rsidR="00623179" w:rsidP="00623179" w:rsidRDefault="00623179">
            <w:pPr>
              <w:rPr>
                <w:rFonts w:eastAsia="Times New Roman"/>
                <w:sz w:val="20"/>
                <w:szCs w:val="20"/>
                <w:lang w:val="en-US"/>
              </w:rPr>
            </w:pPr>
            <w:r w:rsidRPr="00623179">
              <w:rPr>
                <w:rFonts w:eastAsia="Times New Roman"/>
                <w:sz w:val="20"/>
                <w:szCs w:val="20"/>
                <w:lang w:val="en-US"/>
              </w:rPr>
              <w:t>% </w:t>
            </w:r>
          </w:p>
        </w:tc>
      </w:tr>
      <w:tr w:rsidRPr="00623179" w:rsidR="00623179" w:rsidTr="00623179">
        <w:trPr>
          <w:jc w:val="center"/>
        </w:trPr>
        <w:tc>
          <w:tcPr>
            <w:tcW w:w="0" w:type="auto"/>
            <w:shd w:val="clear" w:color="auto" w:fill="FFFFFF"/>
            <w:hideMark/>
          </w:tcPr>
          <w:p w:rsidRPr="00623179" w:rsidR="00623179" w:rsidP="00623179" w:rsidRDefault="00623179">
            <w:pPr>
              <w:ind w:left="240" w:hanging="240"/>
              <w:rPr>
                <w:rFonts w:eastAsia="Times New Roman"/>
                <w:sz w:val="20"/>
                <w:szCs w:val="20"/>
                <w:lang w:val="en-US"/>
              </w:rPr>
            </w:pPr>
            <w:r w:rsidRPr="00623179">
              <w:rPr>
                <w:rFonts w:eastAsia="Times New Roman"/>
                <w:sz w:val="20"/>
                <w:szCs w:val="20"/>
                <w:lang w:val="en-US"/>
              </w:rPr>
              <w:t>4.625% Senior Notes due 2025</w:t>
            </w:r>
          </w:p>
        </w:tc>
        <w:tc>
          <w:tcPr>
            <w:tcW w:w="0" w:type="auto"/>
            <w:shd w:val="clear" w:color="auto" w:fill="FFFFFF"/>
            <w:vAlign w:val="bottom"/>
            <w:hideMark/>
          </w:tcPr>
          <w:p w:rsidRPr="00623179" w:rsidR="00623179" w:rsidP="00623179" w:rsidRDefault="00623179">
            <w:pPr>
              <w:rPr>
                <w:rFonts w:eastAsia="Times New Roman"/>
                <w:sz w:val="20"/>
                <w:szCs w:val="20"/>
                <w:lang w:val="en-US"/>
              </w:rPr>
            </w:pPr>
            <w:r w:rsidRPr="00623179">
              <w:rPr>
                <w:rFonts w:eastAsia="Times New Roman"/>
                <w:sz w:val="20"/>
                <w:szCs w:val="20"/>
                <w:lang w:val="en-US"/>
              </w:rPr>
              <w:t>  </w:t>
            </w:r>
          </w:p>
        </w:tc>
        <w:tc>
          <w:tcPr>
            <w:tcW w:w="0" w:type="auto"/>
            <w:shd w:val="clear" w:color="auto" w:fill="FFFFFF"/>
            <w:noWrap/>
            <w:hideMark/>
          </w:tcPr>
          <w:p w:rsidRPr="00623179" w:rsidR="00623179" w:rsidP="00623179" w:rsidRDefault="00623179">
            <w:pPr>
              <w:rPr>
                <w:rFonts w:eastAsia="Times New Roman"/>
                <w:sz w:val="20"/>
                <w:szCs w:val="20"/>
                <w:lang w:val="en-US"/>
              </w:rPr>
            </w:pPr>
            <w:r w:rsidRPr="00623179">
              <w:rPr>
                <w:rFonts w:eastAsia="Times New Roman"/>
                <w:sz w:val="20"/>
                <w:szCs w:val="20"/>
                <w:lang w:val="en-US"/>
              </w:rPr>
              <w:t> </w:t>
            </w:r>
          </w:p>
        </w:tc>
        <w:tc>
          <w:tcPr>
            <w:tcW w:w="0" w:type="auto"/>
            <w:shd w:val="clear" w:color="auto" w:fill="FFFFFF"/>
            <w:noWrap/>
            <w:hideMark/>
          </w:tcPr>
          <w:p w:rsidRPr="00623179" w:rsidR="00623179" w:rsidP="00623179" w:rsidRDefault="00623179">
            <w:pPr>
              <w:jc w:val="right"/>
              <w:rPr>
                <w:rFonts w:eastAsia="Times New Roman"/>
                <w:sz w:val="20"/>
                <w:szCs w:val="20"/>
                <w:lang w:val="en-US"/>
              </w:rPr>
            </w:pPr>
            <w:r w:rsidRPr="00623179">
              <w:rPr>
                <w:rFonts w:eastAsia="Times New Roman"/>
                <w:sz w:val="20"/>
                <w:szCs w:val="20"/>
                <w:lang w:val="en-US"/>
              </w:rPr>
              <w:t>55303XAK1 /</w:t>
            </w:r>
            <w:r w:rsidRPr="00623179">
              <w:rPr>
                <w:rFonts w:eastAsia="Times New Roman"/>
                <w:sz w:val="20"/>
                <w:szCs w:val="20"/>
                <w:lang w:val="en-US"/>
              </w:rPr>
              <w:br/>
              <w:t>U5930BAD8</w:t>
            </w:r>
          </w:p>
        </w:tc>
        <w:tc>
          <w:tcPr>
            <w:tcW w:w="0" w:type="auto"/>
            <w:shd w:val="clear" w:color="auto" w:fill="FFFFFF"/>
            <w:noWrap/>
            <w:hideMark/>
          </w:tcPr>
          <w:p w:rsidRPr="00623179" w:rsidR="00623179" w:rsidP="00623179" w:rsidRDefault="00623179">
            <w:pPr>
              <w:rPr>
                <w:rFonts w:eastAsia="Times New Roman"/>
                <w:sz w:val="20"/>
                <w:szCs w:val="20"/>
                <w:lang w:val="en-US"/>
              </w:rPr>
            </w:pPr>
            <w:r w:rsidRPr="00623179">
              <w:rPr>
                <w:rFonts w:eastAsia="Times New Roman"/>
                <w:sz w:val="20"/>
                <w:szCs w:val="20"/>
                <w:lang w:val="en-US"/>
              </w:rPr>
              <w:t> </w:t>
            </w:r>
            <w:r w:rsidRPr="00623179">
              <w:rPr>
                <w:rFonts w:eastAsia="Times New Roman"/>
                <w:sz w:val="20"/>
                <w:szCs w:val="20"/>
                <w:lang w:val="en-US"/>
              </w:rPr>
              <w:br/>
              <w:t> </w:t>
            </w:r>
          </w:p>
        </w:tc>
        <w:tc>
          <w:tcPr>
            <w:tcW w:w="0" w:type="auto"/>
            <w:shd w:val="clear" w:color="auto" w:fill="FFFFFF"/>
            <w:vAlign w:val="bottom"/>
            <w:hideMark/>
          </w:tcPr>
          <w:p w:rsidRPr="00623179" w:rsidR="00623179" w:rsidP="00623179" w:rsidRDefault="00623179">
            <w:pPr>
              <w:rPr>
                <w:rFonts w:eastAsia="Times New Roman"/>
                <w:sz w:val="20"/>
                <w:szCs w:val="20"/>
                <w:lang w:val="en-US"/>
              </w:rPr>
            </w:pPr>
            <w:r w:rsidRPr="00623179">
              <w:rPr>
                <w:rFonts w:eastAsia="Times New Roman"/>
                <w:sz w:val="20"/>
                <w:szCs w:val="20"/>
                <w:lang w:val="en-US"/>
              </w:rPr>
              <w:t>  </w:t>
            </w:r>
          </w:p>
        </w:tc>
        <w:tc>
          <w:tcPr>
            <w:tcW w:w="0" w:type="auto"/>
            <w:shd w:val="clear" w:color="auto" w:fill="FFFFFF"/>
            <w:noWrap/>
            <w:hideMark/>
          </w:tcPr>
          <w:p w:rsidRPr="00623179" w:rsidR="00623179" w:rsidP="00623179" w:rsidRDefault="00623179">
            <w:pPr>
              <w:rPr>
                <w:rFonts w:eastAsia="Times New Roman"/>
                <w:sz w:val="20"/>
                <w:szCs w:val="20"/>
                <w:lang w:val="en-US"/>
              </w:rPr>
            </w:pPr>
            <w:r w:rsidRPr="00623179">
              <w:rPr>
                <w:rFonts w:eastAsia="Times New Roman"/>
                <w:sz w:val="20"/>
                <w:szCs w:val="20"/>
                <w:lang w:val="en-US"/>
              </w:rPr>
              <w:t>VICI 4.625%</w:t>
            </w:r>
            <w:r w:rsidRPr="00623179">
              <w:rPr>
                <w:rFonts w:eastAsia="Times New Roman"/>
                <w:sz w:val="20"/>
                <w:szCs w:val="20"/>
                <w:lang w:val="en-US"/>
              </w:rPr>
              <w:br/>
              <w:t>Senior Notes due</w:t>
            </w:r>
            <w:r w:rsidRPr="00623179">
              <w:rPr>
                <w:rFonts w:eastAsia="Times New Roman"/>
                <w:sz w:val="20"/>
                <w:szCs w:val="20"/>
                <w:lang w:val="en-US"/>
              </w:rPr>
              <w:br/>
              <w:t>2025</w:t>
            </w:r>
          </w:p>
        </w:tc>
        <w:tc>
          <w:tcPr>
            <w:tcW w:w="0" w:type="auto"/>
            <w:shd w:val="clear" w:color="auto" w:fill="FFFFFF"/>
            <w:vAlign w:val="bottom"/>
            <w:hideMark/>
          </w:tcPr>
          <w:p w:rsidRPr="00623179" w:rsidR="00623179" w:rsidP="00623179" w:rsidRDefault="00623179">
            <w:pPr>
              <w:rPr>
                <w:rFonts w:eastAsia="Times New Roman"/>
                <w:sz w:val="20"/>
                <w:szCs w:val="20"/>
                <w:lang w:val="en-US"/>
              </w:rPr>
            </w:pPr>
            <w:r w:rsidRPr="00623179">
              <w:rPr>
                <w:rFonts w:eastAsia="Times New Roman"/>
                <w:sz w:val="20"/>
                <w:szCs w:val="20"/>
                <w:lang w:val="en-US"/>
              </w:rPr>
              <w:t> </w:t>
            </w:r>
          </w:p>
        </w:tc>
        <w:tc>
          <w:tcPr>
            <w:tcW w:w="0" w:type="auto"/>
            <w:shd w:val="clear" w:color="auto" w:fill="FFFFFF"/>
            <w:noWrap/>
            <w:hideMark/>
          </w:tcPr>
          <w:p w:rsidRPr="00623179" w:rsidR="00623179" w:rsidP="00623179" w:rsidRDefault="00623179">
            <w:pPr>
              <w:rPr>
                <w:rFonts w:eastAsia="Times New Roman"/>
                <w:sz w:val="20"/>
                <w:szCs w:val="20"/>
                <w:lang w:val="en-US"/>
              </w:rPr>
            </w:pPr>
            <w:r w:rsidRPr="00623179">
              <w:rPr>
                <w:rFonts w:eastAsia="Times New Roman"/>
                <w:sz w:val="20"/>
                <w:szCs w:val="20"/>
                <w:lang w:val="en-US"/>
              </w:rPr>
              <w:t>$</w:t>
            </w:r>
          </w:p>
        </w:tc>
        <w:tc>
          <w:tcPr>
            <w:tcW w:w="0" w:type="auto"/>
            <w:shd w:val="clear" w:color="auto" w:fill="FFFFFF"/>
            <w:noWrap/>
            <w:hideMark/>
          </w:tcPr>
          <w:p w:rsidRPr="00623179" w:rsidR="00623179" w:rsidP="00623179" w:rsidRDefault="00623179">
            <w:pPr>
              <w:jc w:val="right"/>
              <w:rPr>
                <w:rFonts w:eastAsia="Times New Roman"/>
                <w:sz w:val="20"/>
                <w:szCs w:val="20"/>
                <w:lang w:val="en-US"/>
              </w:rPr>
            </w:pPr>
            <w:r w:rsidRPr="00623179">
              <w:rPr>
                <w:rFonts w:eastAsia="Times New Roman"/>
                <w:sz w:val="20"/>
                <w:szCs w:val="20"/>
                <w:lang w:val="en-US"/>
              </w:rPr>
              <w:t>800,000,000</w:t>
            </w:r>
          </w:p>
        </w:tc>
        <w:tc>
          <w:tcPr>
            <w:tcW w:w="0" w:type="auto"/>
            <w:shd w:val="clear" w:color="auto" w:fill="FFFFFF"/>
            <w:noWrap/>
            <w:hideMark/>
          </w:tcPr>
          <w:p w:rsidRPr="00623179" w:rsidR="00623179" w:rsidP="00623179" w:rsidRDefault="00623179">
            <w:pPr>
              <w:rPr>
                <w:rFonts w:eastAsia="Times New Roman"/>
                <w:sz w:val="20"/>
                <w:szCs w:val="20"/>
                <w:lang w:val="en-US"/>
              </w:rPr>
            </w:pPr>
            <w:r w:rsidRPr="00623179">
              <w:rPr>
                <w:rFonts w:eastAsia="Times New Roman"/>
                <w:sz w:val="20"/>
                <w:szCs w:val="20"/>
                <w:lang w:val="en-US"/>
              </w:rPr>
              <w:t> </w:t>
            </w:r>
          </w:p>
        </w:tc>
        <w:tc>
          <w:tcPr>
            <w:tcW w:w="0" w:type="auto"/>
            <w:shd w:val="clear" w:color="auto" w:fill="FFFFFF"/>
            <w:vAlign w:val="bottom"/>
            <w:hideMark/>
          </w:tcPr>
          <w:p w:rsidRPr="00623179" w:rsidR="00623179" w:rsidP="00623179" w:rsidRDefault="00623179">
            <w:pPr>
              <w:rPr>
                <w:rFonts w:eastAsia="Times New Roman"/>
                <w:sz w:val="20"/>
                <w:szCs w:val="20"/>
                <w:lang w:val="en-US"/>
              </w:rPr>
            </w:pPr>
            <w:r w:rsidRPr="00623179">
              <w:rPr>
                <w:rFonts w:eastAsia="Times New Roman"/>
                <w:sz w:val="20"/>
                <w:szCs w:val="20"/>
                <w:lang w:val="en-US"/>
              </w:rPr>
              <w:t>  </w:t>
            </w:r>
          </w:p>
        </w:tc>
        <w:tc>
          <w:tcPr>
            <w:tcW w:w="0" w:type="auto"/>
            <w:shd w:val="clear" w:color="auto" w:fill="FFFFFF"/>
            <w:noWrap/>
            <w:hideMark/>
          </w:tcPr>
          <w:p w:rsidRPr="00623179" w:rsidR="00623179" w:rsidP="00623179" w:rsidRDefault="00623179">
            <w:pPr>
              <w:rPr>
                <w:rFonts w:eastAsia="Times New Roman"/>
                <w:sz w:val="20"/>
                <w:szCs w:val="20"/>
                <w:lang w:val="en-US"/>
              </w:rPr>
            </w:pPr>
            <w:r w:rsidRPr="00623179">
              <w:rPr>
                <w:rFonts w:eastAsia="Times New Roman"/>
                <w:sz w:val="20"/>
                <w:szCs w:val="20"/>
                <w:lang w:val="en-US"/>
              </w:rPr>
              <w:t>$</w:t>
            </w:r>
          </w:p>
        </w:tc>
        <w:tc>
          <w:tcPr>
            <w:tcW w:w="0" w:type="auto"/>
            <w:shd w:val="clear" w:color="auto" w:fill="FFFFFF"/>
            <w:noWrap/>
            <w:hideMark/>
          </w:tcPr>
          <w:p w:rsidRPr="00623179" w:rsidR="00623179" w:rsidP="00623179" w:rsidRDefault="00623179">
            <w:pPr>
              <w:jc w:val="right"/>
              <w:rPr>
                <w:rFonts w:eastAsia="Times New Roman"/>
                <w:sz w:val="20"/>
                <w:szCs w:val="20"/>
                <w:lang w:val="en-US"/>
              </w:rPr>
            </w:pPr>
            <w:r w:rsidRPr="00623179">
              <w:rPr>
                <w:rFonts w:eastAsia="Times New Roman"/>
                <w:sz w:val="20"/>
                <w:szCs w:val="20"/>
                <w:lang w:val="en-US"/>
              </w:rPr>
              <w:t>799,368,000</w:t>
            </w:r>
          </w:p>
        </w:tc>
        <w:tc>
          <w:tcPr>
            <w:tcW w:w="0" w:type="auto"/>
            <w:shd w:val="clear" w:color="auto" w:fill="FFFFFF"/>
            <w:noWrap/>
            <w:hideMark/>
          </w:tcPr>
          <w:p w:rsidRPr="00623179" w:rsidR="00623179" w:rsidP="00623179" w:rsidRDefault="00623179">
            <w:pPr>
              <w:rPr>
                <w:rFonts w:eastAsia="Times New Roman"/>
                <w:sz w:val="20"/>
                <w:szCs w:val="20"/>
                <w:lang w:val="en-US"/>
              </w:rPr>
            </w:pPr>
            <w:r w:rsidRPr="00623179">
              <w:rPr>
                <w:rFonts w:eastAsia="Times New Roman"/>
                <w:sz w:val="20"/>
                <w:szCs w:val="20"/>
                <w:lang w:val="en-US"/>
              </w:rPr>
              <w:t> </w:t>
            </w:r>
          </w:p>
        </w:tc>
        <w:tc>
          <w:tcPr>
            <w:tcW w:w="0" w:type="auto"/>
            <w:shd w:val="clear" w:color="auto" w:fill="FFFFFF"/>
            <w:vAlign w:val="bottom"/>
            <w:hideMark/>
          </w:tcPr>
          <w:p w:rsidRPr="00623179" w:rsidR="00623179" w:rsidP="00623179" w:rsidRDefault="00623179">
            <w:pPr>
              <w:rPr>
                <w:rFonts w:eastAsia="Times New Roman"/>
                <w:sz w:val="20"/>
                <w:szCs w:val="20"/>
                <w:lang w:val="en-US"/>
              </w:rPr>
            </w:pPr>
            <w:r w:rsidRPr="00623179">
              <w:rPr>
                <w:rFonts w:eastAsia="Times New Roman"/>
                <w:sz w:val="20"/>
                <w:szCs w:val="20"/>
                <w:lang w:val="en-US"/>
              </w:rPr>
              <w:t>  </w:t>
            </w:r>
          </w:p>
        </w:tc>
        <w:tc>
          <w:tcPr>
            <w:tcW w:w="0" w:type="auto"/>
            <w:shd w:val="clear" w:color="auto" w:fill="FFFFFF"/>
            <w:noWrap/>
            <w:hideMark/>
          </w:tcPr>
          <w:p w:rsidRPr="00623179" w:rsidR="00623179" w:rsidP="00623179" w:rsidRDefault="00623179">
            <w:pPr>
              <w:rPr>
                <w:rFonts w:eastAsia="Times New Roman"/>
                <w:sz w:val="20"/>
                <w:szCs w:val="20"/>
                <w:lang w:val="en-US"/>
              </w:rPr>
            </w:pPr>
            <w:r w:rsidRPr="00623179">
              <w:rPr>
                <w:rFonts w:eastAsia="Times New Roman"/>
                <w:sz w:val="20"/>
                <w:szCs w:val="20"/>
                <w:lang w:val="en-US"/>
              </w:rPr>
              <w:t> </w:t>
            </w:r>
          </w:p>
        </w:tc>
        <w:tc>
          <w:tcPr>
            <w:tcW w:w="0" w:type="auto"/>
            <w:shd w:val="clear" w:color="auto" w:fill="FFFFFF"/>
            <w:noWrap/>
            <w:hideMark/>
          </w:tcPr>
          <w:p w:rsidRPr="00623179" w:rsidR="00623179" w:rsidP="00623179" w:rsidRDefault="00623179">
            <w:pPr>
              <w:jc w:val="right"/>
              <w:rPr>
                <w:rFonts w:eastAsia="Times New Roman"/>
                <w:sz w:val="20"/>
                <w:szCs w:val="20"/>
                <w:lang w:val="en-US"/>
              </w:rPr>
            </w:pPr>
            <w:r w:rsidRPr="00623179">
              <w:rPr>
                <w:rFonts w:eastAsia="Times New Roman"/>
                <w:sz w:val="20"/>
                <w:szCs w:val="20"/>
                <w:lang w:val="en-US"/>
              </w:rPr>
              <w:t>99.92</w:t>
            </w:r>
          </w:p>
        </w:tc>
        <w:tc>
          <w:tcPr>
            <w:tcW w:w="0" w:type="auto"/>
            <w:shd w:val="clear" w:color="auto" w:fill="FFFFFF"/>
            <w:noWrap/>
            <w:hideMark/>
          </w:tcPr>
          <w:p w:rsidRPr="00623179" w:rsidR="00623179" w:rsidP="00623179" w:rsidRDefault="00623179">
            <w:pPr>
              <w:rPr>
                <w:rFonts w:eastAsia="Times New Roman"/>
                <w:sz w:val="20"/>
                <w:szCs w:val="20"/>
                <w:lang w:val="en-US"/>
              </w:rPr>
            </w:pPr>
            <w:r w:rsidRPr="00623179">
              <w:rPr>
                <w:rFonts w:eastAsia="Times New Roman"/>
                <w:sz w:val="20"/>
                <w:szCs w:val="20"/>
                <w:lang w:val="en-US"/>
              </w:rPr>
              <w:t>% </w:t>
            </w:r>
          </w:p>
        </w:tc>
      </w:tr>
      <w:tr w:rsidRPr="00623179" w:rsidR="00623179" w:rsidTr="00623179">
        <w:trPr>
          <w:jc w:val="center"/>
        </w:trPr>
        <w:tc>
          <w:tcPr>
            <w:tcW w:w="0" w:type="auto"/>
            <w:shd w:val="clear" w:color="auto" w:fill="CCEEFF"/>
            <w:hideMark/>
          </w:tcPr>
          <w:p w:rsidRPr="00623179" w:rsidR="00623179" w:rsidP="00623179" w:rsidRDefault="00623179">
            <w:pPr>
              <w:ind w:left="240" w:hanging="240"/>
              <w:rPr>
                <w:rFonts w:eastAsia="Times New Roman"/>
                <w:sz w:val="20"/>
                <w:szCs w:val="20"/>
                <w:lang w:val="en-US"/>
              </w:rPr>
            </w:pPr>
            <w:r w:rsidRPr="00623179">
              <w:rPr>
                <w:rFonts w:eastAsia="Times New Roman"/>
                <w:sz w:val="20"/>
                <w:szCs w:val="20"/>
                <w:lang w:val="en-US"/>
              </w:rPr>
              <w:t>4.500% Senior Notes due 2026</w:t>
            </w:r>
          </w:p>
        </w:tc>
        <w:tc>
          <w:tcPr>
            <w:tcW w:w="0" w:type="auto"/>
            <w:shd w:val="clear" w:color="auto" w:fill="CCEEFF"/>
            <w:vAlign w:val="bottom"/>
            <w:hideMark/>
          </w:tcPr>
          <w:p w:rsidRPr="00623179" w:rsidR="00623179" w:rsidP="00623179" w:rsidRDefault="00623179">
            <w:pPr>
              <w:rPr>
                <w:rFonts w:eastAsia="Times New Roman"/>
                <w:sz w:val="20"/>
                <w:szCs w:val="20"/>
                <w:lang w:val="en-US"/>
              </w:rPr>
            </w:pPr>
            <w:r w:rsidRPr="00623179">
              <w:rPr>
                <w:rFonts w:eastAsia="Times New Roman"/>
                <w:sz w:val="20"/>
                <w:szCs w:val="20"/>
                <w:lang w:val="en-US"/>
              </w:rPr>
              <w:t>  </w:t>
            </w:r>
          </w:p>
        </w:tc>
        <w:tc>
          <w:tcPr>
            <w:tcW w:w="0" w:type="auto"/>
            <w:shd w:val="clear" w:color="auto" w:fill="CCEEFF"/>
            <w:noWrap/>
            <w:hideMark/>
          </w:tcPr>
          <w:p w:rsidRPr="00623179" w:rsidR="00623179" w:rsidP="00623179" w:rsidRDefault="00623179">
            <w:pPr>
              <w:rPr>
                <w:rFonts w:eastAsia="Times New Roman"/>
                <w:sz w:val="20"/>
                <w:szCs w:val="20"/>
                <w:lang w:val="en-US"/>
              </w:rPr>
            </w:pPr>
            <w:r w:rsidRPr="00623179">
              <w:rPr>
                <w:rFonts w:eastAsia="Times New Roman"/>
                <w:sz w:val="20"/>
                <w:szCs w:val="20"/>
                <w:lang w:val="en-US"/>
              </w:rPr>
              <w:t> </w:t>
            </w:r>
          </w:p>
        </w:tc>
        <w:tc>
          <w:tcPr>
            <w:tcW w:w="0" w:type="auto"/>
            <w:shd w:val="clear" w:color="auto" w:fill="CCEEFF"/>
            <w:noWrap/>
            <w:hideMark/>
          </w:tcPr>
          <w:p w:rsidRPr="00623179" w:rsidR="00623179" w:rsidP="00623179" w:rsidRDefault="00623179">
            <w:pPr>
              <w:jc w:val="right"/>
              <w:rPr>
                <w:rFonts w:eastAsia="Times New Roman"/>
                <w:sz w:val="20"/>
                <w:szCs w:val="20"/>
                <w:lang w:val="en-US"/>
              </w:rPr>
            </w:pPr>
            <w:r w:rsidRPr="00623179">
              <w:rPr>
                <w:rFonts w:eastAsia="Times New Roman"/>
                <w:sz w:val="20"/>
                <w:szCs w:val="20"/>
                <w:lang w:val="en-US"/>
              </w:rPr>
              <w:t>55303XAB1</w:t>
            </w:r>
          </w:p>
        </w:tc>
        <w:tc>
          <w:tcPr>
            <w:tcW w:w="0" w:type="auto"/>
            <w:shd w:val="clear" w:color="auto" w:fill="CCEEFF"/>
            <w:noWrap/>
            <w:hideMark/>
          </w:tcPr>
          <w:p w:rsidRPr="00623179" w:rsidR="00623179" w:rsidP="00623179" w:rsidRDefault="00623179">
            <w:pPr>
              <w:rPr>
                <w:rFonts w:eastAsia="Times New Roman"/>
                <w:sz w:val="20"/>
                <w:szCs w:val="20"/>
                <w:lang w:val="en-US"/>
              </w:rPr>
            </w:pPr>
            <w:r w:rsidRPr="00623179">
              <w:rPr>
                <w:rFonts w:eastAsia="Times New Roman"/>
                <w:sz w:val="20"/>
                <w:szCs w:val="20"/>
                <w:lang w:val="en-US"/>
              </w:rPr>
              <w:t> </w:t>
            </w:r>
          </w:p>
        </w:tc>
        <w:tc>
          <w:tcPr>
            <w:tcW w:w="0" w:type="auto"/>
            <w:shd w:val="clear" w:color="auto" w:fill="CCEEFF"/>
            <w:vAlign w:val="bottom"/>
            <w:hideMark/>
          </w:tcPr>
          <w:p w:rsidRPr="00623179" w:rsidR="00623179" w:rsidP="00623179" w:rsidRDefault="00623179">
            <w:pPr>
              <w:rPr>
                <w:rFonts w:eastAsia="Times New Roman"/>
                <w:sz w:val="20"/>
                <w:szCs w:val="20"/>
                <w:lang w:val="en-US"/>
              </w:rPr>
            </w:pPr>
            <w:r w:rsidRPr="00623179">
              <w:rPr>
                <w:rFonts w:eastAsia="Times New Roman"/>
                <w:sz w:val="20"/>
                <w:szCs w:val="20"/>
                <w:lang w:val="en-US"/>
              </w:rPr>
              <w:t>  </w:t>
            </w:r>
          </w:p>
        </w:tc>
        <w:tc>
          <w:tcPr>
            <w:tcW w:w="0" w:type="auto"/>
            <w:shd w:val="clear" w:color="auto" w:fill="CCEEFF"/>
            <w:noWrap/>
            <w:hideMark/>
          </w:tcPr>
          <w:p w:rsidRPr="00623179" w:rsidR="00623179" w:rsidP="00623179" w:rsidRDefault="00623179">
            <w:pPr>
              <w:rPr>
                <w:rFonts w:eastAsia="Times New Roman"/>
                <w:sz w:val="20"/>
                <w:szCs w:val="20"/>
                <w:lang w:val="en-US"/>
              </w:rPr>
            </w:pPr>
            <w:r w:rsidRPr="00623179">
              <w:rPr>
                <w:rFonts w:eastAsia="Times New Roman"/>
                <w:sz w:val="20"/>
                <w:szCs w:val="20"/>
                <w:lang w:val="en-US"/>
              </w:rPr>
              <w:t>VICI 4.500%</w:t>
            </w:r>
            <w:r w:rsidRPr="00623179">
              <w:rPr>
                <w:rFonts w:eastAsia="Times New Roman"/>
                <w:sz w:val="20"/>
                <w:szCs w:val="20"/>
                <w:lang w:val="en-US"/>
              </w:rPr>
              <w:br/>
              <w:t>Senior Notes due</w:t>
            </w:r>
            <w:r w:rsidRPr="00623179">
              <w:rPr>
                <w:rFonts w:eastAsia="Times New Roman"/>
                <w:sz w:val="20"/>
                <w:szCs w:val="20"/>
                <w:lang w:val="en-US"/>
              </w:rPr>
              <w:br/>
              <w:t>2026</w:t>
            </w:r>
          </w:p>
        </w:tc>
        <w:tc>
          <w:tcPr>
            <w:tcW w:w="0" w:type="auto"/>
            <w:shd w:val="clear" w:color="auto" w:fill="CCEEFF"/>
            <w:vAlign w:val="bottom"/>
            <w:hideMark/>
          </w:tcPr>
          <w:p w:rsidRPr="00623179" w:rsidR="00623179" w:rsidP="00623179" w:rsidRDefault="00623179">
            <w:pPr>
              <w:rPr>
                <w:rFonts w:eastAsia="Times New Roman"/>
                <w:sz w:val="20"/>
                <w:szCs w:val="20"/>
                <w:lang w:val="en-US"/>
              </w:rPr>
            </w:pPr>
            <w:r w:rsidRPr="00623179">
              <w:rPr>
                <w:rFonts w:eastAsia="Times New Roman"/>
                <w:sz w:val="20"/>
                <w:szCs w:val="20"/>
                <w:lang w:val="en-US"/>
              </w:rPr>
              <w:t> </w:t>
            </w:r>
          </w:p>
        </w:tc>
        <w:tc>
          <w:tcPr>
            <w:tcW w:w="0" w:type="auto"/>
            <w:shd w:val="clear" w:color="auto" w:fill="CCEEFF"/>
            <w:noWrap/>
            <w:hideMark/>
          </w:tcPr>
          <w:p w:rsidRPr="00623179" w:rsidR="00623179" w:rsidP="00623179" w:rsidRDefault="00623179">
            <w:pPr>
              <w:rPr>
                <w:rFonts w:eastAsia="Times New Roman"/>
                <w:sz w:val="20"/>
                <w:szCs w:val="20"/>
                <w:lang w:val="en-US"/>
              </w:rPr>
            </w:pPr>
            <w:r w:rsidRPr="00623179">
              <w:rPr>
                <w:rFonts w:eastAsia="Times New Roman"/>
                <w:sz w:val="20"/>
                <w:szCs w:val="20"/>
                <w:lang w:val="en-US"/>
              </w:rPr>
              <w:t>$</w:t>
            </w:r>
          </w:p>
        </w:tc>
        <w:tc>
          <w:tcPr>
            <w:tcW w:w="0" w:type="auto"/>
            <w:shd w:val="clear" w:color="auto" w:fill="CCEEFF"/>
            <w:noWrap/>
            <w:hideMark/>
          </w:tcPr>
          <w:p w:rsidRPr="00623179" w:rsidR="00623179" w:rsidP="00623179" w:rsidRDefault="00623179">
            <w:pPr>
              <w:jc w:val="right"/>
              <w:rPr>
                <w:rFonts w:eastAsia="Times New Roman"/>
                <w:sz w:val="20"/>
                <w:szCs w:val="20"/>
                <w:lang w:val="en-US"/>
              </w:rPr>
            </w:pPr>
            <w:r w:rsidRPr="00623179">
              <w:rPr>
                <w:rFonts w:eastAsia="Times New Roman"/>
                <w:sz w:val="20"/>
                <w:szCs w:val="20"/>
                <w:lang w:val="en-US"/>
              </w:rPr>
              <w:t>500,000,000</w:t>
            </w:r>
          </w:p>
        </w:tc>
        <w:tc>
          <w:tcPr>
            <w:tcW w:w="0" w:type="auto"/>
            <w:shd w:val="clear" w:color="auto" w:fill="CCEEFF"/>
            <w:noWrap/>
            <w:hideMark/>
          </w:tcPr>
          <w:p w:rsidRPr="00623179" w:rsidR="00623179" w:rsidP="00623179" w:rsidRDefault="00623179">
            <w:pPr>
              <w:rPr>
                <w:rFonts w:eastAsia="Times New Roman"/>
                <w:sz w:val="20"/>
                <w:szCs w:val="20"/>
                <w:lang w:val="en-US"/>
              </w:rPr>
            </w:pPr>
            <w:r w:rsidRPr="00623179">
              <w:rPr>
                <w:rFonts w:eastAsia="Times New Roman"/>
                <w:sz w:val="20"/>
                <w:szCs w:val="20"/>
                <w:lang w:val="en-US"/>
              </w:rPr>
              <w:t> </w:t>
            </w:r>
          </w:p>
        </w:tc>
        <w:tc>
          <w:tcPr>
            <w:tcW w:w="0" w:type="auto"/>
            <w:shd w:val="clear" w:color="auto" w:fill="CCEEFF"/>
            <w:vAlign w:val="bottom"/>
            <w:hideMark/>
          </w:tcPr>
          <w:p w:rsidRPr="00623179" w:rsidR="00623179" w:rsidP="00623179" w:rsidRDefault="00623179">
            <w:pPr>
              <w:rPr>
                <w:rFonts w:eastAsia="Times New Roman"/>
                <w:sz w:val="20"/>
                <w:szCs w:val="20"/>
                <w:lang w:val="en-US"/>
              </w:rPr>
            </w:pPr>
            <w:r w:rsidRPr="00623179">
              <w:rPr>
                <w:rFonts w:eastAsia="Times New Roman"/>
                <w:sz w:val="20"/>
                <w:szCs w:val="20"/>
                <w:lang w:val="en-US"/>
              </w:rPr>
              <w:t>  </w:t>
            </w:r>
          </w:p>
        </w:tc>
        <w:tc>
          <w:tcPr>
            <w:tcW w:w="0" w:type="auto"/>
            <w:shd w:val="clear" w:color="auto" w:fill="CCEEFF"/>
            <w:noWrap/>
            <w:hideMark/>
          </w:tcPr>
          <w:p w:rsidRPr="00623179" w:rsidR="00623179" w:rsidP="00623179" w:rsidRDefault="00623179">
            <w:pPr>
              <w:rPr>
                <w:rFonts w:eastAsia="Times New Roman"/>
                <w:sz w:val="20"/>
                <w:szCs w:val="20"/>
                <w:lang w:val="en-US"/>
              </w:rPr>
            </w:pPr>
            <w:r w:rsidRPr="00623179">
              <w:rPr>
                <w:rFonts w:eastAsia="Times New Roman"/>
                <w:sz w:val="20"/>
                <w:szCs w:val="20"/>
                <w:lang w:val="en-US"/>
              </w:rPr>
              <w:t>$</w:t>
            </w:r>
          </w:p>
        </w:tc>
        <w:tc>
          <w:tcPr>
            <w:tcW w:w="0" w:type="auto"/>
            <w:shd w:val="clear" w:color="auto" w:fill="CCEEFF"/>
            <w:noWrap/>
            <w:hideMark/>
          </w:tcPr>
          <w:p w:rsidRPr="00623179" w:rsidR="00623179" w:rsidP="00623179" w:rsidRDefault="00623179">
            <w:pPr>
              <w:jc w:val="right"/>
              <w:rPr>
                <w:rFonts w:eastAsia="Times New Roman"/>
                <w:sz w:val="20"/>
                <w:szCs w:val="20"/>
                <w:lang w:val="en-US"/>
              </w:rPr>
            </w:pPr>
            <w:r w:rsidRPr="00623179">
              <w:rPr>
                <w:rFonts w:eastAsia="Times New Roman"/>
                <w:sz w:val="20"/>
                <w:szCs w:val="20"/>
                <w:lang w:val="en-US"/>
              </w:rPr>
              <w:t>480,524,000</w:t>
            </w:r>
          </w:p>
        </w:tc>
        <w:tc>
          <w:tcPr>
            <w:tcW w:w="0" w:type="auto"/>
            <w:shd w:val="clear" w:color="auto" w:fill="CCEEFF"/>
            <w:noWrap/>
            <w:hideMark/>
          </w:tcPr>
          <w:p w:rsidRPr="00623179" w:rsidR="00623179" w:rsidP="00623179" w:rsidRDefault="00623179">
            <w:pPr>
              <w:rPr>
                <w:rFonts w:eastAsia="Times New Roman"/>
                <w:sz w:val="20"/>
                <w:szCs w:val="20"/>
                <w:lang w:val="en-US"/>
              </w:rPr>
            </w:pPr>
            <w:r w:rsidRPr="00623179">
              <w:rPr>
                <w:rFonts w:eastAsia="Times New Roman"/>
                <w:sz w:val="20"/>
                <w:szCs w:val="20"/>
                <w:lang w:val="en-US"/>
              </w:rPr>
              <w:t> </w:t>
            </w:r>
          </w:p>
        </w:tc>
        <w:tc>
          <w:tcPr>
            <w:tcW w:w="0" w:type="auto"/>
            <w:shd w:val="clear" w:color="auto" w:fill="CCEEFF"/>
            <w:vAlign w:val="bottom"/>
            <w:hideMark/>
          </w:tcPr>
          <w:p w:rsidRPr="00623179" w:rsidR="00623179" w:rsidP="00623179" w:rsidRDefault="00623179">
            <w:pPr>
              <w:rPr>
                <w:rFonts w:eastAsia="Times New Roman"/>
                <w:sz w:val="20"/>
                <w:szCs w:val="20"/>
                <w:lang w:val="en-US"/>
              </w:rPr>
            </w:pPr>
            <w:r w:rsidRPr="00623179">
              <w:rPr>
                <w:rFonts w:eastAsia="Times New Roman"/>
                <w:sz w:val="20"/>
                <w:szCs w:val="20"/>
                <w:lang w:val="en-US"/>
              </w:rPr>
              <w:t>  </w:t>
            </w:r>
          </w:p>
        </w:tc>
        <w:tc>
          <w:tcPr>
            <w:tcW w:w="0" w:type="auto"/>
            <w:shd w:val="clear" w:color="auto" w:fill="CCEEFF"/>
            <w:noWrap/>
            <w:hideMark/>
          </w:tcPr>
          <w:p w:rsidRPr="00623179" w:rsidR="00623179" w:rsidP="00623179" w:rsidRDefault="00623179">
            <w:pPr>
              <w:rPr>
                <w:rFonts w:eastAsia="Times New Roman"/>
                <w:sz w:val="20"/>
                <w:szCs w:val="20"/>
                <w:lang w:val="en-US"/>
              </w:rPr>
            </w:pPr>
            <w:r w:rsidRPr="00623179">
              <w:rPr>
                <w:rFonts w:eastAsia="Times New Roman"/>
                <w:sz w:val="20"/>
                <w:szCs w:val="20"/>
                <w:lang w:val="en-US"/>
              </w:rPr>
              <w:t> </w:t>
            </w:r>
          </w:p>
        </w:tc>
        <w:tc>
          <w:tcPr>
            <w:tcW w:w="0" w:type="auto"/>
            <w:shd w:val="clear" w:color="auto" w:fill="CCEEFF"/>
            <w:noWrap/>
            <w:hideMark/>
          </w:tcPr>
          <w:p w:rsidRPr="00623179" w:rsidR="00623179" w:rsidP="00623179" w:rsidRDefault="00623179">
            <w:pPr>
              <w:jc w:val="right"/>
              <w:rPr>
                <w:rFonts w:eastAsia="Times New Roman"/>
                <w:sz w:val="20"/>
                <w:szCs w:val="20"/>
                <w:lang w:val="en-US"/>
              </w:rPr>
            </w:pPr>
            <w:r w:rsidRPr="00623179">
              <w:rPr>
                <w:rFonts w:eastAsia="Times New Roman"/>
                <w:sz w:val="20"/>
                <w:szCs w:val="20"/>
                <w:lang w:val="en-US"/>
              </w:rPr>
              <w:t>96.10</w:t>
            </w:r>
          </w:p>
        </w:tc>
        <w:tc>
          <w:tcPr>
            <w:tcW w:w="0" w:type="auto"/>
            <w:shd w:val="clear" w:color="auto" w:fill="CCEEFF"/>
            <w:noWrap/>
            <w:hideMark/>
          </w:tcPr>
          <w:p w:rsidRPr="00623179" w:rsidR="00623179" w:rsidP="00623179" w:rsidRDefault="00623179">
            <w:pPr>
              <w:rPr>
                <w:rFonts w:eastAsia="Times New Roman"/>
                <w:sz w:val="20"/>
                <w:szCs w:val="20"/>
                <w:lang w:val="en-US"/>
              </w:rPr>
            </w:pPr>
            <w:r w:rsidRPr="00623179">
              <w:rPr>
                <w:rFonts w:eastAsia="Times New Roman"/>
                <w:sz w:val="20"/>
                <w:szCs w:val="20"/>
                <w:lang w:val="en-US"/>
              </w:rPr>
              <w:t>% </w:t>
            </w:r>
          </w:p>
        </w:tc>
      </w:tr>
      <w:tr w:rsidRPr="00623179" w:rsidR="00623179" w:rsidTr="00623179">
        <w:trPr>
          <w:jc w:val="center"/>
        </w:trPr>
        <w:tc>
          <w:tcPr>
            <w:tcW w:w="0" w:type="auto"/>
            <w:shd w:val="clear" w:color="auto" w:fill="FFFFFF"/>
            <w:hideMark/>
          </w:tcPr>
          <w:p w:rsidRPr="00623179" w:rsidR="00623179" w:rsidP="00623179" w:rsidRDefault="00623179">
            <w:pPr>
              <w:ind w:left="240" w:hanging="240"/>
              <w:rPr>
                <w:rFonts w:eastAsia="Times New Roman"/>
                <w:sz w:val="20"/>
                <w:szCs w:val="20"/>
                <w:lang w:val="en-US"/>
              </w:rPr>
            </w:pPr>
            <w:r w:rsidRPr="00623179">
              <w:rPr>
                <w:rFonts w:eastAsia="Times New Roman"/>
                <w:sz w:val="20"/>
                <w:szCs w:val="20"/>
                <w:lang w:val="en-US"/>
              </w:rPr>
              <w:t>5.750% Senior Notes due 2027</w:t>
            </w:r>
          </w:p>
        </w:tc>
        <w:tc>
          <w:tcPr>
            <w:tcW w:w="0" w:type="auto"/>
            <w:shd w:val="clear" w:color="auto" w:fill="FFFFFF"/>
            <w:vAlign w:val="bottom"/>
            <w:hideMark/>
          </w:tcPr>
          <w:p w:rsidRPr="00623179" w:rsidR="00623179" w:rsidP="00623179" w:rsidRDefault="00623179">
            <w:pPr>
              <w:rPr>
                <w:rFonts w:eastAsia="Times New Roman"/>
                <w:sz w:val="20"/>
                <w:szCs w:val="20"/>
                <w:lang w:val="en-US"/>
              </w:rPr>
            </w:pPr>
            <w:r w:rsidRPr="00623179">
              <w:rPr>
                <w:rFonts w:eastAsia="Times New Roman"/>
                <w:sz w:val="20"/>
                <w:szCs w:val="20"/>
                <w:lang w:val="en-US"/>
              </w:rPr>
              <w:t>  </w:t>
            </w:r>
          </w:p>
        </w:tc>
        <w:tc>
          <w:tcPr>
            <w:tcW w:w="0" w:type="auto"/>
            <w:shd w:val="clear" w:color="auto" w:fill="FFFFFF"/>
            <w:noWrap/>
            <w:hideMark/>
          </w:tcPr>
          <w:p w:rsidRPr="00623179" w:rsidR="00623179" w:rsidP="00623179" w:rsidRDefault="00623179">
            <w:pPr>
              <w:spacing w:after="240"/>
              <w:rPr>
                <w:rFonts w:eastAsia="Times New Roman"/>
                <w:sz w:val="20"/>
                <w:szCs w:val="20"/>
                <w:lang w:val="en-US"/>
              </w:rPr>
            </w:pPr>
            <w:r w:rsidRPr="00623179">
              <w:rPr>
                <w:rFonts w:eastAsia="Times New Roman"/>
                <w:sz w:val="20"/>
                <w:szCs w:val="20"/>
                <w:lang w:val="en-US"/>
              </w:rPr>
              <w:t> </w:t>
            </w:r>
          </w:p>
        </w:tc>
        <w:tc>
          <w:tcPr>
            <w:tcW w:w="0" w:type="auto"/>
            <w:shd w:val="clear" w:color="auto" w:fill="FFFFFF"/>
            <w:noWrap/>
            <w:hideMark/>
          </w:tcPr>
          <w:p w:rsidRPr="00623179" w:rsidR="00623179" w:rsidP="00623179" w:rsidRDefault="00623179">
            <w:pPr>
              <w:jc w:val="right"/>
              <w:rPr>
                <w:rFonts w:eastAsia="Times New Roman"/>
                <w:sz w:val="20"/>
                <w:szCs w:val="20"/>
                <w:lang w:val="en-US"/>
              </w:rPr>
            </w:pPr>
            <w:r w:rsidRPr="00623179">
              <w:rPr>
                <w:rFonts w:eastAsia="Times New Roman"/>
                <w:sz w:val="20"/>
                <w:szCs w:val="20"/>
                <w:lang w:val="en-US"/>
              </w:rPr>
              <w:t>55303XAG0 /</w:t>
            </w:r>
            <w:r w:rsidRPr="00623179">
              <w:rPr>
                <w:rFonts w:eastAsia="Times New Roman"/>
                <w:sz w:val="20"/>
                <w:szCs w:val="20"/>
                <w:lang w:val="en-US"/>
              </w:rPr>
              <w:br/>
              <w:t>55303XAJ4 /</w:t>
            </w:r>
            <w:r w:rsidRPr="00623179">
              <w:rPr>
                <w:rFonts w:eastAsia="Times New Roman"/>
                <w:sz w:val="20"/>
                <w:szCs w:val="20"/>
                <w:lang w:val="en-US"/>
              </w:rPr>
              <w:br/>
              <w:t>U5930BAC0</w:t>
            </w:r>
          </w:p>
        </w:tc>
        <w:tc>
          <w:tcPr>
            <w:tcW w:w="0" w:type="auto"/>
            <w:shd w:val="clear" w:color="auto" w:fill="FFFFFF"/>
            <w:noWrap/>
            <w:hideMark/>
          </w:tcPr>
          <w:p w:rsidRPr="00623179" w:rsidR="00623179" w:rsidP="00623179" w:rsidRDefault="00623179">
            <w:pPr>
              <w:rPr>
                <w:rFonts w:eastAsia="Times New Roman"/>
                <w:sz w:val="20"/>
                <w:szCs w:val="20"/>
                <w:lang w:val="en-US"/>
              </w:rPr>
            </w:pPr>
            <w:r w:rsidRPr="00623179">
              <w:rPr>
                <w:rFonts w:eastAsia="Times New Roman"/>
                <w:sz w:val="20"/>
                <w:szCs w:val="20"/>
                <w:lang w:val="en-US"/>
              </w:rPr>
              <w:t> </w:t>
            </w:r>
            <w:r w:rsidRPr="00623179">
              <w:rPr>
                <w:rFonts w:eastAsia="Times New Roman"/>
                <w:sz w:val="20"/>
                <w:szCs w:val="20"/>
                <w:lang w:val="en-US"/>
              </w:rPr>
              <w:br/>
              <w:t> </w:t>
            </w:r>
            <w:r w:rsidRPr="00623179">
              <w:rPr>
                <w:rFonts w:eastAsia="Times New Roman"/>
                <w:sz w:val="20"/>
                <w:szCs w:val="20"/>
                <w:lang w:val="en-US"/>
              </w:rPr>
              <w:br/>
              <w:t> </w:t>
            </w:r>
          </w:p>
        </w:tc>
        <w:tc>
          <w:tcPr>
            <w:tcW w:w="0" w:type="auto"/>
            <w:shd w:val="clear" w:color="auto" w:fill="FFFFFF"/>
            <w:vAlign w:val="bottom"/>
            <w:hideMark/>
          </w:tcPr>
          <w:p w:rsidRPr="00623179" w:rsidR="00623179" w:rsidP="00623179" w:rsidRDefault="00623179">
            <w:pPr>
              <w:rPr>
                <w:rFonts w:eastAsia="Times New Roman"/>
                <w:sz w:val="20"/>
                <w:szCs w:val="20"/>
                <w:lang w:val="en-US"/>
              </w:rPr>
            </w:pPr>
            <w:r w:rsidRPr="00623179">
              <w:rPr>
                <w:rFonts w:eastAsia="Times New Roman"/>
                <w:sz w:val="20"/>
                <w:szCs w:val="20"/>
                <w:lang w:val="en-US"/>
              </w:rPr>
              <w:t>  </w:t>
            </w:r>
          </w:p>
        </w:tc>
        <w:tc>
          <w:tcPr>
            <w:tcW w:w="0" w:type="auto"/>
            <w:shd w:val="clear" w:color="auto" w:fill="FFFFFF"/>
            <w:noWrap/>
            <w:hideMark/>
          </w:tcPr>
          <w:p w:rsidRPr="00623179" w:rsidR="00623179" w:rsidP="00623179" w:rsidRDefault="00623179">
            <w:pPr>
              <w:rPr>
                <w:rFonts w:eastAsia="Times New Roman"/>
                <w:sz w:val="20"/>
                <w:szCs w:val="20"/>
                <w:lang w:val="en-US"/>
              </w:rPr>
            </w:pPr>
            <w:r w:rsidRPr="00623179">
              <w:rPr>
                <w:rFonts w:eastAsia="Times New Roman"/>
                <w:sz w:val="20"/>
                <w:szCs w:val="20"/>
                <w:lang w:val="en-US"/>
              </w:rPr>
              <w:t>VICI 5.750%</w:t>
            </w:r>
            <w:r w:rsidRPr="00623179">
              <w:rPr>
                <w:rFonts w:eastAsia="Times New Roman"/>
                <w:sz w:val="20"/>
                <w:szCs w:val="20"/>
                <w:lang w:val="en-US"/>
              </w:rPr>
              <w:br/>
              <w:t>Senior Notes due</w:t>
            </w:r>
            <w:r w:rsidRPr="00623179">
              <w:rPr>
                <w:rFonts w:eastAsia="Times New Roman"/>
                <w:sz w:val="20"/>
                <w:szCs w:val="20"/>
                <w:lang w:val="en-US"/>
              </w:rPr>
              <w:br/>
              <w:t>2027</w:t>
            </w:r>
          </w:p>
        </w:tc>
        <w:tc>
          <w:tcPr>
            <w:tcW w:w="0" w:type="auto"/>
            <w:shd w:val="clear" w:color="auto" w:fill="FFFFFF"/>
            <w:vAlign w:val="bottom"/>
            <w:hideMark/>
          </w:tcPr>
          <w:p w:rsidRPr="00623179" w:rsidR="00623179" w:rsidP="00623179" w:rsidRDefault="00623179">
            <w:pPr>
              <w:rPr>
                <w:rFonts w:eastAsia="Times New Roman"/>
                <w:sz w:val="20"/>
                <w:szCs w:val="20"/>
                <w:lang w:val="en-US"/>
              </w:rPr>
            </w:pPr>
            <w:r w:rsidRPr="00623179">
              <w:rPr>
                <w:rFonts w:eastAsia="Times New Roman"/>
                <w:sz w:val="20"/>
                <w:szCs w:val="20"/>
                <w:lang w:val="en-US"/>
              </w:rPr>
              <w:t> </w:t>
            </w:r>
          </w:p>
        </w:tc>
        <w:tc>
          <w:tcPr>
            <w:tcW w:w="0" w:type="auto"/>
            <w:shd w:val="clear" w:color="auto" w:fill="FFFFFF"/>
            <w:noWrap/>
            <w:hideMark/>
          </w:tcPr>
          <w:p w:rsidRPr="00623179" w:rsidR="00623179" w:rsidP="00623179" w:rsidRDefault="00623179">
            <w:pPr>
              <w:rPr>
                <w:rFonts w:eastAsia="Times New Roman"/>
                <w:sz w:val="20"/>
                <w:szCs w:val="20"/>
                <w:lang w:val="en-US"/>
              </w:rPr>
            </w:pPr>
            <w:r w:rsidRPr="00623179">
              <w:rPr>
                <w:rFonts w:eastAsia="Times New Roman"/>
                <w:sz w:val="20"/>
                <w:szCs w:val="20"/>
                <w:lang w:val="en-US"/>
              </w:rPr>
              <w:t>$</w:t>
            </w:r>
          </w:p>
        </w:tc>
        <w:tc>
          <w:tcPr>
            <w:tcW w:w="0" w:type="auto"/>
            <w:shd w:val="clear" w:color="auto" w:fill="FFFFFF"/>
            <w:noWrap/>
            <w:hideMark/>
          </w:tcPr>
          <w:p w:rsidRPr="00623179" w:rsidR="00623179" w:rsidP="00623179" w:rsidRDefault="00623179">
            <w:pPr>
              <w:jc w:val="right"/>
              <w:rPr>
                <w:rFonts w:eastAsia="Times New Roman"/>
                <w:sz w:val="20"/>
                <w:szCs w:val="20"/>
                <w:lang w:val="en-US"/>
              </w:rPr>
            </w:pPr>
            <w:r w:rsidRPr="00623179">
              <w:rPr>
                <w:rFonts w:eastAsia="Times New Roman"/>
                <w:sz w:val="20"/>
                <w:szCs w:val="20"/>
                <w:lang w:val="en-US"/>
              </w:rPr>
              <w:t>750,000,000</w:t>
            </w:r>
          </w:p>
        </w:tc>
        <w:tc>
          <w:tcPr>
            <w:tcW w:w="0" w:type="auto"/>
            <w:shd w:val="clear" w:color="auto" w:fill="FFFFFF"/>
            <w:noWrap/>
            <w:hideMark/>
          </w:tcPr>
          <w:p w:rsidRPr="00623179" w:rsidR="00623179" w:rsidP="00623179" w:rsidRDefault="00623179">
            <w:pPr>
              <w:rPr>
                <w:rFonts w:eastAsia="Times New Roman"/>
                <w:sz w:val="20"/>
                <w:szCs w:val="20"/>
                <w:lang w:val="en-US"/>
              </w:rPr>
            </w:pPr>
            <w:r w:rsidRPr="00623179">
              <w:rPr>
                <w:rFonts w:eastAsia="Times New Roman"/>
                <w:sz w:val="20"/>
                <w:szCs w:val="20"/>
                <w:lang w:val="en-US"/>
              </w:rPr>
              <w:t> </w:t>
            </w:r>
          </w:p>
        </w:tc>
        <w:tc>
          <w:tcPr>
            <w:tcW w:w="0" w:type="auto"/>
            <w:shd w:val="clear" w:color="auto" w:fill="FFFFFF"/>
            <w:vAlign w:val="bottom"/>
            <w:hideMark/>
          </w:tcPr>
          <w:p w:rsidRPr="00623179" w:rsidR="00623179" w:rsidP="00623179" w:rsidRDefault="00623179">
            <w:pPr>
              <w:rPr>
                <w:rFonts w:eastAsia="Times New Roman"/>
                <w:sz w:val="20"/>
                <w:szCs w:val="20"/>
                <w:lang w:val="en-US"/>
              </w:rPr>
            </w:pPr>
            <w:r w:rsidRPr="00623179">
              <w:rPr>
                <w:rFonts w:eastAsia="Times New Roman"/>
                <w:sz w:val="20"/>
                <w:szCs w:val="20"/>
                <w:lang w:val="en-US"/>
              </w:rPr>
              <w:t>  </w:t>
            </w:r>
          </w:p>
        </w:tc>
        <w:tc>
          <w:tcPr>
            <w:tcW w:w="0" w:type="auto"/>
            <w:shd w:val="clear" w:color="auto" w:fill="FFFFFF"/>
            <w:noWrap/>
            <w:hideMark/>
          </w:tcPr>
          <w:p w:rsidRPr="00623179" w:rsidR="00623179" w:rsidP="00623179" w:rsidRDefault="00623179">
            <w:pPr>
              <w:rPr>
                <w:rFonts w:eastAsia="Times New Roman"/>
                <w:sz w:val="20"/>
                <w:szCs w:val="20"/>
                <w:lang w:val="en-US"/>
              </w:rPr>
            </w:pPr>
            <w:r w:rsidRPr="00623179">
              <w:rPr>
                <w:rFonts w:eastAsia="Times New Roman"/>
                <w:sz w:val="20"/>
                <w:szCs w:val="20"/>
                <w:lang w:val="en-US"/>
              </w:rPr>
              <w:t>$</w:t>
            </w:r>
          </w:p>
        </w:tc>
        <w:tc>
          <w:tcPr>
            <w:tcW w:w="0" w:type="auto"/>
            <w:shd w:val="clear" w:color="auto" w:fill="FFFFFF"/>
            <w:noWrap/>
            <w:hideMark/>
          </w:tcPr>
          <w:p w:rsidRPr="00623179" w:rsidR="00623179" w:rsidP="00623179" w:rsidRDefault="00623179">
            <w:pPr>
              <w:jc w:val="right"/>
              <w:rPr>
                <w:rFonts w:eastAsia="Times New Roman"/>
                <w:sz w:val="20"/>
                <w:szCs w:val="20"/>
                <w:lang w:val="en-US"/>
              </w:rPr>
            </w:pPr>
            <w:r w:rsidRPr="00623179">
              <w:rPr>
                <w:rFonts w:eastAsia="Times New Roman"/>
                <w:sz w:val="20"/>
                <w:szCs w:val="20"/>
                <w:lang w:val="en-US"/>
              </w:rPr>
              <w:t>729,466,000</w:t>
            </w:r>
          </w:p>
        </w:tc>
        <w:tc>
          <w:tcPr>
            <w:tcW w:w="0" w:type="auto"/>
            <w:shd w:val="clear" w:color="auto" w:fill="FFFFFF"/>
            <w:noWrap/>
            <w:hideMark/>
          </w:tcPr>
          <w:p w:rsidRPr="00623179" w:rsidR="00623179" w:rsidP="00623179" w:rsidRDefault="00623179">
            <w:pPr>
              <w:rPr>
                <w:rFonts w:eastAsia="Times New Roman"/>
                <w:sz w:val="20"/>
                <w:szCs w:val="20"/>
                <w:lang w:val="en-US"/>
              </w:rPr>
            </w:pPr>
            <w:r w:rsidRPr="00623179">
              <w:rPr>
                <w:rFonts w:eastAsia="Times New Roman"/>
                <w:sz w:val="20"/>
                <w:szCs w:val="20"/>
                <w:lang w:val="en-US"/>
              </w:rPr>
              <w:t> </w:t>
            </w:r>
          </w:p>
        </w:tc>
        <w:tc>
          <w:tcPr>
            <w:tcW w:w="0" w:type="auto"/>
            <w:shd w:val="clear" w:color="auto" w:fill="FFFFFF"/>
            <w:vAlign w:val="bottom"/>
            <w:hideMark/>
          </w:tcPr>
          <w:p w:rsidRPr="00623179" w:rsidR="00623179" w:rsidP="00623179" w:rsidRDefault="00623179">
            <w:pPr>
              <w:rPr>
                <w:rFonts w:eastAsia="Times New Roman"/>
                <w:sz w:val="20"/>
                <w:szCs w:val="20"/>
                <w:lang w:val="en-US"/>
              </w:rPr>
            </w:pPr>
            <w:r w:rsidRPr="00623179">
              <w:rPr>
                <w:rFonts w:eastAsia="Times New Roman"/>
                <w:sz w:val="20"/>
                <w:szCs w:val="20"/>
                <w:lang w:val="en-US"/>
              </w:rPr>
              <w:t>  </w:t>
            </w:r>
          </w:p>
        </w:tc>
        <w:tc>
          <w:tcPr>
            <w:tcW w:w="0" w:type="auto"/>
            <w:shd w:val="clear" w:color="auto" w:fill="FFFFFF"/>
            <w:noWrap/>
            <w:hideMark/>
          </w:tcPr>
          <w:p w:rsidRPr="00623179" w:rsidR="00623179" w:rsidP="00623179" w:rsidRDefault="00623179">
            <w:pPr>
              <w:rPr>
                <w:rFonts w:eastAsia="Times New Roman"/>
                <w:sz w:val="20"/>
                <w:szCs w:val="20"/>
                <w:lang w:val="en-US"/>
              </w:rPr>
            </w:pPr>
            <w:r w:rsidRPr="00623179">
              <w:rPr>
                <w:rFonts w:eastAsia="Times New Roman"/>
                <w:sz w:val="20"/>
                <w:szCs w:val="20"/>
                <w:lang w:val="en-US"/>
              </w:rPr>
              <w:t> </w:t>
            </w:r>
          </w:p>
        </w:tc>
        <w:tc>
          <w:tcPr>
            <w:tcW w:w="0" w:type="auto"/>
            <w:shd w:val="clear" w:color="auto" w:fill="FFFFFF"/>
            <w:noWrap/>
            <w:hideMark/>
          </w:tcPr>
          <w:p w:rsidRPr="00623179" w:rsidR="00623179" w:rsidP="00623179" w:rsidRDefault="00623179">
            <w:pPr>
              <w:jc w:val="right"/>
              <w:rPr>
                <w:rFonts w:eastAsia="Times New Roman"/>
                <w:sz w:val="20"/>
                <w:szCs w:val="20"/>
                <w:lang w:val="en-US"/>
              </w:rPr>
            </w:pPr>
            <w:r w:rsidRPr="00623179">
              <w:rPr>
                <w:rFonts w:eastAsia="Times New Roman"/>
                <w:sz w:val="20"/>
                <w:szCs w:val="20"/>
                <w:lang w:val="en-US"/>
              </w:rPr>
              <w:t>97.26</w:t>
            </w:r>
          </w:p>
        </w:tc>
        <w:tc>
          <w:tcPr>
            <w:tcW w:w="0" w:type="auto"/>
            <w:shd w:val="clear" w:color="auto" w:fill="FFFFFF"/>
            <w:noWrap/>
            <w:hideMark/>
          </w:tcPr>
          <w:p w:rsidRPr="00623179" w:rsidR="00623179" w:rsidP="00623179" w:rsidRDefault="00623179">
            <w:pPr>
              <w:rPr>
                <w:rFonts w:eastAsia="Times New Roman"/>
                <w:sz w:val="20"/>
                <w:szCs w:val="20"/>
                <w:lang w:val="en-US"/>
              </w:rPr>
            </w:pPr>
            <w:r w:rsidRPr="00623179">
              <w:rPr>
                <w:rFonts w:eastAsia="Times New Roman"/>
                <w:sz w:val="20"/>
                <w:szCs w:val="20"/>
                <w:lang w:val="en-US"/>
              </w:rPr>
              <w:t>% </w:t>
            </w:r>
          </w:p>
        </w:tc>
      </w:tr>
      <w:tr w:rsidRPr="00623179" w:rsidR="00623179" w:rsidTr="00623179">
        <w:trPr>
          <w:jc w:val="center"/>
        </w:trPr>
        <w:tc>
          <w:tcPr>
            <w:tcW w:w="0" w:type="auto"/>
            <w:shd w:val="clear" w:color="auto" w:fill="CCEEFF"/>
            <w:hideMark/>
          </w:tcPr>
          <w:p w:rsidRPr="00623179" w:rsidR="00623179" w:rsidP="00623179" w:rsidRDefault="00623179">
            <w:pPr>
              <w:ind w:left="240" w:hanging="240"/>
              <w:rPr>
                <w:rFonts w:eastAsia="Times New Roman"/>
                <w:sz w:val="20"/>
                <w:szCs w:val="20"/>
                <w:lang w:val="en-US"/>
              </w:rPr>
            </w:pPr>
            <w:r w:rsidRPr="00623179">
              <w:rPr>
                <w:rFonts w:eastAsia="Times New Roman"/>
                <w:sz w:val="20"/>
                <w:szCs w:val="20"/>
                <w:lang w:val="en-US"/>
              </w:rPr>
              <w:t>4.500% Senior Notes due 2028</w:t>
            </w:r>
          </w:p>
        </w:tc>
        <w:tc>
          <w:tcPr>
            <w:tcW w:w="0" w:type="auto"/>
            <w:shd w:val="clear" w:color="auto" w:fill="CCEEFF"/>
            <w:vAlign w:val="bottom"/>
            <w:hideMark/>
          </w:tcPr>
          <w:p w:rsidRPr="00623179" w:rsidR="00623179" w:rsidP="00623179" w:rsidRDefault="00623179">
            <w:pPr>
              <w:rPr>
                <w:rFonts w:eastAsia="Times New Roman"/>
                <w:sz w:val="20"/>
                <w:szCs w:val="20"/>
                <w:lang w:val="en-US"/>
              </w:rPr>
            </w:pPr>
            <w:r w:rsidRPr="00623179">
              <w:rPr>
                <w:rFonts w:eastAsia="Times New Roman"/>
                <w:sz w:val="20"/>
                <w:szCs w:val="20"/>
                <w:lang w:val="en-US"/>
              </w:rPr>
              <w:t>  </w:t>
            </w:r>
          </w:p>
        </w:tc>
        <w:tc>
          <w:tcPr>
            <w:tcW w:w="0" w:type="auto"/>
            <w:shd w:val="clear" w:color="auto" w:fill="CCEEFF"/>
            <w:noWrap/>
            <w:hideMark/>
          </w:tcPr>
          <w:p w:rsidRPr="00623179" w:rsidR="00623179" w:rsidP="00623179" w:rsidRDefault="00623179">
            <w:pPr>
              <w:spacing w:after="240"/>
              <w:rPr>
                <w:rFonts w:eastAsia="Times New Roman"/>
                <w:sz w:val="20"/>
                <w:szCs w:val="20"/>
                <w:lang w:val="en-US"/>
              </w:rPr>
            </w:pPr>
            <w:r w:rsidRPr="00623179">
              <w:rPr>
                <w:rFonts w:eastAsia="Times New Roman"/>
                <w:sz w:val="20"/>
                <w:szCs w:val="20"/>
                <w:lang w:val="en-US"/>
              </w:rPr>
              <w:t> </w:t>
            </w:r>
          </w:p>
        </w:tc>
        <w:tc>
          <w:tcPr>
            <w:tcW w:w="0" w:type="auto"/>
            <w:shd w:val="clear" w:color="auto" w:fill="CCEEFF"/>
            <w:noWrap/>
            <w:hideMark/>
          </w:tcPr>
          <w:p w:rsidRPr="00623179" w:rsidR="00623179" w:rsidP="00623179" w:rsidRDefault="00623179">
            <w:pPr>
              <w:jc w:val="right"/>
              <w:rPr>
                <w:rFonts w:eastAsia="Times New Roman"/>
                <w:sz w:val="20"/>
                <w:szCs w:val="20"/>
                <w:lang w:val="en-US"/>
              </w:rPr>
            </w:pPr>
            <w:r w:rsidRPr="00623179">
              <w:rPr>
                <w:rFonts w:eastAsia="Times New Roman"/>
                <w:sz w:val="20"/>
                <w:szCs w:val="20"/>
                <w:lang w:val="en-US"/>
              </w:rPr>
              <w:t>55303XAD7 /</w:t>
            </w:r>
            <w:r w:rsidRPr="00623179">
              <w:rPr>
                <w:rFonts w:eastAsia="Times New Roman"/>
                <w:sz w:val="20"/>
                <w:szCs w:val="20"/>
                <w:lang w:val="en-US"/>
              </w:rPr>
              <w:br/>
              <w:t>55303XAF2 /</w:t>
            </w:r>
            <w:r w:rsidRPr="00623179">
              <w:rPr>
                <w:rFonts w:eastAsia="Times New Roman"/>
                <w:sz w:val="20"/>
                <w:szCs w:val="20"/>
                <w:lang w:val="en-US"/>
              </w:rPr>
              <w:br/>
              <w:t>U5930BAB2</w:t>
            </w:r>
          </w:p>
        </w:tc>
        <w:tc>
          <w:tcPr>
            <w:tcW w:w="0" w:type="auto"/>
            <w:shd w:val="clear" w:color="auto" w:fill="CCEEFF"/>
            <w:noWrap/>
            <w:hideMark/>
          </w:tcPr>
          <w:p w:rsidRPr="00623179" w:rsidR="00623179" w:rsidP="00623179" w:rsidRDefault="00623179">
            <w:pPr>
              <w:rPr>
                <w:rFonts w:eastAsia="Times New Roman"/>
                <w:sz w:val="20"/>
                <w:szCs w:val="20"/>
                <w:lang w:val="en-US"/>
              </w:rPr>
            </w:pPr>
            <w:r w:rsidRPr="00623179">
              <w:rPr>
                <w:rFonts w:eastAsia="Times New Roman"/>
                <w:sz w:val="20"/>
                <w:szCs w:val="20"/>
                <w:lang w:val="en-US"/>
              </w:rPr>
              <w:t> </w:t>
            </w:r>
            <w:r w:rsidRPr="00623179">
              <w:rPr>
                <w:rFonts w:eastAsia="Times New Roman"/>
                <w:sz w:val="20"/>
                <w:szCs w:val="20"/>
                <w:lang w:val="en-US"/>
              </w:rPr>
              <w:br/>
              <w:t> </w:t>
            </w:r>
            <w:r w:rsidRPr="00623179">
              <w:rPr>
                <w:rFonts w:eastAsia="Times New Roman"/>
                <w:sz w:val="20"/>
                <w:szCs w:val="20"/>
                <w:lang w:val="en-US"/>
              </w:rPr>
              <w:br/>
              <w:t> </w:t>
            </w:r>
          </w:p>
        </w:tc>
        <w:tc>
          <w:tcPr>
            <w:tcW w:w="0" w:type="auto"/>
            <w:shd w:val="clear" w:color="auto" w:fill="CCEEFF"/>
            <w:vAlign w:val="bottom"/>
            <w:hideMark/>
          </w:tcPr>
          <w:p w:rsidRPr="00623179" w:rsidR="00623179" w:rsidP="00623179" w:rsidRDefault="00623179">
            <w:pPr>
              <w:rPr>
                <w:rFonts w:eastAsia="Times New Roman"/>
                <w:sz w:val="20"/>
                <w:szCs w:val="20"/>
                <w:lang w:val="en-US"/>
              </w:rPr>
            </w:pPr>
            <w:r w:rsidRPr="00623179">
              <w:rPr>
                <w:rFonts w:eastAsia="Times New Roman"/>
                <w:sz w:val="20"/>
                <w:szCs w:val="20"/>
                <w:lang w:val="en-US"/>
              </w:rPr>
              <w:t>  </w:t>
            </w:r>
          </w:p>
        </w:tc>
        <w:tc>
          <w:tcPr>
            <w:tcW w:w="0" w:type="auto"/>
            <w:shd w:val="clear" w:color="auto" w:fill="CCEEFF"/>
            <w:noWrap/>
            <w:hideMark/>
          </w:tcPr>
          <w:p w:rsidRPr="00623179" w:rsidR="00623179" w:rsidP="00623179" w:rsidRDefault="00623179">
            <w:pPr>
              <w:rPr>
                <w:rFonts w:eastAsia="Times New Roman"/>
                <w:sz w:val="20"/>
                <w:szCs w:val="20"/>
                <w:lang w:val="en-US"/>
              </w:rPr>
            </w:pPr>
            <w:r w:rsidRPr="00623179">
              <w:rPr>
                <w:rFonts w:eastAsia="Times New Roman"/>
                <w:sz w:val="20"/>
                <w:szCs w:val="20"/>
                <w:lang w:val="en-US"/>
              </w:rPr>
              <w:t>VICI 4.500%</w:t>
            </w:r>
            <w:r w:rsidRPr="00623179">
              <w:rPr>
                <w:rFonts w:eastAsia="Times New Roman"/>
                <w:sz w:val="20"/>
                <w:szCs w:val="20"/>
                <w:lang w:val="en-US"/>
              </w:rPr>
              <w:br/>
              <w:t>Senior Notes due</w:t>
            </w:r>
            <w:r w:rsidRPr="00623179">
              <w:rPr>
                <w:rFonts w:eastAsia="Times New Roman"/>
                <w:sz w:val="20"/>
                <w:szCs w:val="20"/>
                <w:lang w:val="en-US"/>
              </w:rPr>
              <w:br/>
              <w:t>2028</w:t>
            </w:r>
          </w:p>
        </w:tc>
        <w:tc>
          <w:tcPr>
            <w:tcW w:w="0" w:type="auto"/>
            <w:shd w:val="clear" w:color="auto" w:fill="CCEEFF"/>
            <w:vAlign w:val="bottom"/>
            <w:hideMark/>
          </w:tcPr>
          <w:p w:rsidRPr="00623179" w:rsidR="00623179" w:rsidP="00623179" w:rsidRDefault="00623179">
            <w:pPr>
              <w:rPr>
                <w:rFonts w:eastAsia="Times New Roman"/>
                <w:sz w:val="20"/>
                <w:szCs w:val="20"/>
                <w:lang w:val="en-US"/>
              </w:rPr>
            </w:pPr>
            <w:r w:rsidRPr="00623179">
              <w:rPr>
                <w:rFonts w:eastAsia="Times New Roman"/>
                <w:sz w:val="20"/>
                <w:szCs w:val="20"/>
                <w:lang w:val="en-US"/>
              </w:rPr>
              <w:t> </w:t>
            </w:r>
          </w:p>
        </w:tc>
        <w:tc>
          <w:tcPr>
            <w:tcW w:w="0" w:type="auto"/>
            <w:shd w:val="clear" w:color="auto" w:fill="CCEEFF"/>
            <w:noWrap/>
            <w:hideMark/>
          </w:tcPr>
          <w:p w:rsidRPr="00623179" w:rsidR="00623179" w:rsidP="00623179" w:rsidRDefault="00623179">
            <w:pPr>
              <w:rPr>
                <w:rFonts w:eastAsia="Times New Roman"/>
                <w:sz w:val="20"/>
                <w:szCs w:val="20"/>
                <w:lang w:val="en-US"/>
              </w:rPr>
            </w:pPr>
            <w:r w:rsidRPr="00623179">
              <w:rPr>
                <w:rFonts w:eastAsia="Times New Roman"/>
                <w:sz w:val="20"/>
                <w:szCs w:val="20"/>
                <w:lang w:val="en-US"/>
              </w:rPr>
              <w:t>$</w:t>
            </w:r>
          </w:p>
        </w:tc>
        <w:tc>
          <w:tcPr>
            <w:tcW w:w="0" w:type="auto"/>
            <w:shd w:val="clear" w:color="auto" w:fill="CCEEFF"/>
            <w:noWrap/>
            <w:hideMark/>
          </w:tcPr>
          <w:p w:rsidRPr="00623179" w:rsidR="00623179" w:rsidP="00623179" w:rsidRDefault="00623179">
            <w:pPr>
              <w:jc w:val="right"/>
              <w:rPr>
                <w:rFonts w:eastAsia="Times New Roman"/>
                <w:sz w:val="20"/>
                <w:szCs w:val="20"/>
                <w:lang w:val="en-US"/>
              </w:rPr>
            </w:pPr>
            <w:r w:rsidRPr="00623179">
              <w:rPr>
                <w:rFonts w:eastAsia="Times New Roman"/>
                <w:sz w:val="20"/>
                <w:szCs w:val="20"/>
                <w:lang w:val="en-US"/>
              </w:rPr>
              <w:t>350,000,000</w:t>
            </w:r>
          </w:p>
        </w:tc>
        <w:tc>
          <w:tcPr>
            <w:tcW w:w="0" w:type="auto"/>
            <w:shd w:val="clear" w:color="auto" w:fill="CCEEFF"/>
            <w:noWrap/>
            <w:hideMark/>
          </w:tcPr>
          <w:p w:rsidRPr="00623179" w:rsidR="00623179" w:rsidP="00623179" w:rsidRDefault="00623179">
            <w:pPr>
              <w:rPr>
                <w:rFonts w:eastAsia="Times New Roman"/>
                <w:sz w:val="20"/>
                <w:szCs w:val="20"/>
                <w:lang w:val="en-US"/>
              </w:rPr>
            </w:pPr>
            <w:r w:rsidRPr="00623179">
              <w:rPr>
                <w:rFonts w:eastAsia="Times New Roman"/>
                <w:sz w:val="20"/>
                <w:szCs w:val="20"/>
                <w:lang w:val="en-US"/>
              </w:rPr>
              <w:t> </w:t>
            </w:r>
          </w:p>
        </w:tc>
        <w:tc>
          <w:tcPr>
            <w:tcW w:w="0" w:type="auto"/>
            <w:shd w:val="clear" w:color="auto" w:fill="CCEEFF"/>
            <w:vAlign w:val="bottom"/>
            <w:hideMark/>
          </w:tcPr>
          <w:p w:rsidRPr="00623179" w:rsidR="00623179" w:rsidP="00623179" w:rsidRDefault="00623179">
            <w:pPr>
              <w:rPr>
                <w:rFonts w:eastAsia="Times New Roman"/>
                <w:sz w:val="20"/>
                <w:szCs w:val="20"/>
                <w:lang w:val="en-US"/>
              </w:rPr>
            </w:pPr>
            <w:r w:rsidRPr="00623179">
              <w:rPr>
                <w:rFonts w:eastAsia="Times New Roman"/>
                <w:sz w:val="20"/>
                <w:szCs w:val="20"/>
                <w:lang w:val="en-US"/>
              </w:rPr>
              <w:t>  </w:t>
            </w:r>
          </w:p>
        </w:tc>
        <w:tc>
          <w:tcPr>
            <w:tcW w:w="0" w:type="auto"/>
            <w:shd w:val="clear" w:color="auto" w:fill="CCEEFF"/>
            <w:noWrap/>
            <w:hideMark/>
          </w:tcPr>
          <w:p w:rsidRPr="00623179" w:rsidR="00623179" w:rsidP="00623179" w:rsidRDefault="00623179">
            <w:pPr>
              <w:rPr>
                <w:rFonts w:eastAsia="Times New Roman"/>
                <w:sz w:val="20"/>
                <w:szCs w:val="20"/>
                <w:lang w:val="en-US"/>
              </w:rPr>
            </w:pPr>
            <w:r w:rsidRPr="00623179">
              <w:rPr>
                <w:rFonts w:eastAsia="Times New Roman"/>
                <w:sz w:val="20"/>
                <w:szCs w:val="20"/>
                <w:lang w:val="en-US"/>
              </w:rPr>
              <w:t>$</w:t>
            </w:r>
          </w:p>
        </w:tc>
        <w:tc>
          <w:tcPr>
            <w:tcW w:w="0" w:type="auto"/>
            <w:shd w:val="clear" w:color="auto" w:fill="CCEEFF"/>
            <w:noWrap/>
            <w:hideMark/>
          </w:tcPr>
          <w:p w:rsidRPr="00623179" w:rsidR="00623179" w:rsidP="00623179" w:rsidRDefault="00623179">
            <w:pPr>
              <w:jc w:val="right"/>
              <w:rPr>
                <w:rFonts w:eastAsia="Times New Roman"/>
                <w:sz w:val="20"/>
                <w:szCs w:val="20"/>
                <w:lang w:val="en-US"/>
              </w:rPr>
            </w:pPr>
            <w:r w:rsidRPr="00623179">
              <w:rPr>
                <w:rFonts w:eastAsia="Times New Roman"/>
                <w:sz w:val="20"/>
                <w:szCs w:val="20"/>
                <w:lang w:val="en-US"/>
              </w:rPr>
              <w:t>349,325,000</w:t>
            </w:r>
          </w:p>
        </w:tc>
        <w:tc>
          <w:tcPr>
            <w:tcW w:w="0" w:type="auto"/>
            <w:shd w:val="clear" w:color="auto" w:fill="CCEEFF"/>
            <w:noWrap/>
            <w:hideMark/>
          </w:tcPr>
          <w:p w:rsidRPr="00623179" w:rsidR="00623179" w:rsidP="00623179" w:rsidRDefault="00623179">
            <w:pPr>
              <w:rPr>
                <w:rFonts w:eastAsia="Times New Roman"/>
                <w:sz w:val="20"/>
                <w:szCs w:val="20"/>
                <w:lang w:val="en-US"/>
              </w:rPr>
            </w:pPr>
            <w:r w:rsidRPr="00623179">
              <w:rPr>
                <w:rFonts w:eastAsia="Times New Roman"/>
                <w:sz w:val="20"/>
                <w:szCs w:val="20"/>
                <w:lang w:val="en-US"/>
              </w:rPr>
              <w:t> </w:t>
            </w:r>
          </w:p>
        </w:tc>
        <w:tc>
          <w:tcPr>
            <w:tcW w:w="0" w:type="auto"/>
            <w:shd w:val="clear" w:color="auto" w:fill="CCEEFF"/>
            <w:vAlign w:val="bottom"/>
            <w:hideMark/>
          </w:tcPr>
          <w:p w:rsidRPr="00623179" w:rsidR="00623179" w:rsidP="00623179" w:rsidRDefault="00623179">
            <w:pPr>
              <w:rPr>
                <w:rFonts w:eastAsia="Times New Roman"/>
                <w:sz w:val="20"/>
                <w:szCs w:val="20"/>
                <w:lang w:val="en-US"/>
              </w:rPr>
            </w:pPr>
            <w:r w:rsidRPr="00623179">
              <w:rPr>
                <w:rFonts w:eastAsia="Times New Roman"/>
                <w:sz w:val="20"/>
                <w:szCs w:val="20"/>
                <w:lang w:val="en-US"/>
              </w:rPr>
              <w:t>  </w:t>
            </w:r>
          </w:p>
        </w:tc>
        <w:tc>
          <w:tcPr>
            <w:tcW w:w="0" w:type="auto"/>
            <w:shd w:val="clear" w:color="auto" w:fill="CCEEFF"/>
            <w:noWrap/>
            <w:hideMark/>
          </w:tcPr>
          <w:p w:rsidRPr="00623179" w:rsidR="00623179" w:rsidP="00623179" w:rsidRDefault="00623179">
            <w:pPr>
              <w:rPr>
                <w:rFonts w:eastAsia="Times New Roman"/>
                <w:sz w:val="20"/>
                <w:szCs w:val="20"/>
                <w:lang w:val="en-US"/>
              </w:rPr>
            </w:pPr>
            <w:r w:rsidRPr="00623179">
              <w:rPr>
                <w:rFonts w:eastAsia="Times New Roman"/>
                <w:sz w:val="20"/>
                <w:szCs w:val="20"/>
                <w:lang w:val="en-US"/>
              </w:rPr>
              <w:t> </w:t>
            </w:r>
          </w:p>
        </w:tc>
        <w:tc>
          <w:tcPr>
            <w:tcW w:w="0" w:type="auto"/>
            <w:shd w:val="clear" w:color="auto" w:fill="CCEEFF"/>
            <w:noWrap/>
            <w:hideMark/>
          </w:tcPr>
          <w:p w:rsidRPr="00623179" w:rsidR="00623179" w:rsidP="00623179" w:rsidRDefault="00623179">
            <w:pPr>
              <w:jc w:val="right"/>
              <w:rPr>
                <w:rFonts w:eastAsia="Times New Roman"/>
                <w:sz w:val="20"/>
                <w:szCs w:val="20"/>
                <w:lang w:val="en-US"/>
              </w:rPr>
            </w:pPr>
            <w:r w:rsidRPr="00623179">
              <w:rPr>
                <w:rFonts w:eastAsia="Times New Roman"/>
                <w:sz w:val="20"/>
                <w:szCs w:val="20"/>
                <w:lang w:val="en-US"/>
              </w:rPr>
              <w:t>99.81</w:t>
            </w:r>
          </w:p>
        </w:tc>
        <w:tc>
          <w:tcPr>
            <w:tcW w:w="0" w:type="auto"/>
            <w:shd w:val="clear" w:color="auto" w:fill="CCEEFF"/>
            <w:noWrap/>
            <w:hideMark/>
          </w:tcPr>
          <w:p w:rsidRPr="00623179" w:rsidR="00623179" w:rsidP="00623179" w:rsidRDefault="00623179">
            <w:pPr>
              <w:rPr>
                <w:rFonts w:eastAsia="Times New Roman"/>
                <w:sz w:val="20"/>
                <w:szCs w:val="20"/>
                <w:lang w:val="en-US"/>
              </w:rPr>
            </w:pPr>
            <w:r w:rsidRPr="00623179">
              <w:rPr>
                <w:rFonts w:eastAsia="Times New Roman"/>
                <w:sz w:val="20"/>
                <w:szCs w:val="20"/>
                <w:lang w:val="en-US"/>
              </w:rPr>
              <w:t>% </w:t>
            </w:r>
          </w:p>
        </w:tc>
      </w:tr>
      <w:tr w:rsidRPr="00623179" w:rsidR="00623179" w:rsidTr="00623179">
        <w:trPr>
          <w:jc w:val="center"/>
        </w:trPr>
        <w:tc>
          <w:tcPr>
            <w:tcW w:w="0" w:type="auto"/>
            <w:shd w:val="clear" w:color="auto" w:fill="FFFFFF"/>
            <w:hideMark/>
          </w:tcPr>
          <w:p w:rsidRPr="00623179" w:rsidR="00623179" w:rsidP="00623179" w:rsidRDefault="00623179">
            <w:pPr>
              <w:ind w:left="240" w:hanging="240"/>
              <w:rPr>
                <w:rFonts w:eastAsia="Times New Roman"/>
                <w:sz w:val="20"/>
                <w:szCs w:val="20"/>
                <w:lang w:val="en-US"/>
              </w:rPr>
            </w:pPr>
            <w:r w:rsidRPr="00623179">
              <w:rPr>
                <w:rFonts w:eastAsia="Times New Roman"/>
                <w:sz w:val="20"/>
                <w:szCs w:val="20"/>
                <w:lang w:val="en-US"/>
              </w:rPr>
              <w:t>3.875% Senior Notes due 2029</w:t>
            </w:r>
          </w:p>
        </w:tc>
        <w:tc>
          <w:tcPr>
            <w:tcW w:w="0" w:type="auto"/>
            <w:shd w:val="clear" w:color="auto" w:fill="FFFFFF"/>
            <w:vAlign w:val="bottom"/>
            <w:hideMark/>
          </w:tcPr>
          <w:p w:rsidRPr="00623179" w:rsidR="00623179" w:rsidP="00623179" w:rsidRDefault="00623179">
            <w:pPr>
              <w:rPr>
                <w:rFonts w:eastAsia="Times New Roman"/>
                <w:sz w:val="20"/>
                <w:szCs w:val="20"/>
                <w:lang w:val="en-US"/>
              </w:rPr>
            </w:pPr>
            <w:r w:rsidRPr="00623179">
              <w:rPr>
                <w:rFonts w:eastAsia="Times New Roman"/>
                <w:sz w:val="20"/>
                <w:szCs w:val="20"/>
                <w:lang w:val="en-US"/>
              </w:rPr>
              <w:t>  </w:t>
            </w:r>
          </w:p>
        </w:tc>
        <w:tc>
          <w:tcPr>
            <w:tcW w:w="0" w:type="auto"/>
            <w:shd w:val="clear" w:color="auto" w:fill="FFFFFF"/>
            <w:noWrap/>
            <w:hideMark/>
          </w:tcPr>
          <w:p w:rsidRPr="00623179" w:rsidR="00623179" w:rsidP="00623179" w:rsidRDefault="00623179">
            <w:pPr>
              <w:rPr>
                <w:rFonts w:eastAsia="Times New Roman"/>
                <w:sz w:val="20"/>
                <w:szCs w:val="20"/>
                <w:lang w:val="en-US"/>
              </w:rPr>
            </w:pPr>
            <w:r w:rsidRPr="00623179">
              <w:rPr>
                <w:rFonts w:eastAsia="Times New Roman"/>
                <w:sz w:val="20"/>
                <w:szCs w:val="20"/>
                <w:lang w:val="en-US"/>
              </w:rPr>
              <w:t> </w:t>
            </w:r>
          </w:p>
        </w:tc>
        <w:tc>
          <w:tcPr>
            <w:tcW w:w="0" w:type="auto"/>
            <w:shd w:val="clear" w:color="auto" w:fill="FFFFFF"/>
            <w:noWrap/>
            <w:hideMark/>
          </w:tcPr>
          <w:p w:rsidRPr="00623179" w:rsidR="00623179" w:rsidP="00623179" w:rsidRDefault="00623179">
            <w:pPr>
              <w:jc w:val="right"/>
              <w:rPr>
                <w:rFonts w:eastAsia="Times New Roman"/>
                <w:sz w:val="20"/>
                <w:szCs w:val="20"/>
                <w:lang w:val="en-US"/>
              </w:rPr>
            </w:pPr>
            <w:r w:rsidRPr="00623179">
              <w:rPr>
                <w:rFonts w:eastAsia="Times New Roman"/>
                <w:sz w:val="20"/>
                <w:szCs w:val="20"/>
                <w:lang w:val="en-US"/>
              </w:rPr>
              <w:t>55303XAL9 /</w:t>
            </w:r>
            <w:r w:rsidRPr="00623179">
              <w:rPr>
                <w:rFonts w:eastAsia="Times New Roman"/>
                <w:sz w:val="20"/>
                <w:szCs w:val="20"/>
                <w:lang w:val="en-US"/>
              </w:rPr>
              <w:br/>
              <w:t>U5930BAE6</w:t>
            </w:r>
          </w:p>
        </w:tc>
        <w:tc>
          <w:tcPr>
            <w:tcW w:w="0" w:type="auto"/>
            <w:shd w:val="clear" w:color="auto" w:fill="FFFFFF"/>
            <w:noWrap/>
            <w:hideMark/>
          </w:tcPr>
          <w:p w:rsidRPr="00623179" w:rsidR="00623179" w:rsidP="00623179" w:rsidRDefault="00623179">
            <w:pPr>
              <w:rPr>
                <w:rFonts w:eastAsia="Times New Roman"/>
                <w:sz w:val="20"/>
                <w:szCs w:val="20"/>
                <w:lang w:val="en-US"/>
              </w:rPr>
            </w:pPr>
            <w:r w:rsidRPr="00623179">
              <w:rPr>
                <w:rFonts w:eastAsia="Times New Roman"/>
                <w:sz w:val="20"/>
                <w:szCs w:val="20"/>
                <w:lang w:val="en-US"/>
              </w:rPr>
              <w:t> </w:t>
            </w:r>
            <w:r w:rsidRPr="00623179">
              <w:rPr>
                <w:rFonts w:eastAsia="Times New Roman"/>
                <w:sz w:val="20"/>
                <w:szCs w:val="20"/>
                <w:lang w:val="en-US"/>
              </w:rPr>
              <w:br/>
              <w:t> </w:t>
            </w:r>
          </w:p>
        </w:tc>
        <w:tc>
          <w:tcPr>
            <w:tcW w:w="0" w:type="auto"/>
            <w:shd w:val="clear" w:color="auto" w:fill="FFFFFF"/>
            <w:vAlign w:val="bottom"/>
            <w:hideMark/>
          </w:tcPr>
          <w:p w:rsidRPr="00623179" w:rsidR="00623179" w:rsidP="00623179" w:rsidRDefault="00623179">
            <w:pPr>
              <w:rPr>
                <w:rFonts w:eastAsia="Times New Roman"/>
                <w:sz w:val="20"/>
                <w:szCs w:val="20"/>
                <w:lang w:val="en-US"/>
              </w:rPr>
            </w:pPr>
            <w:r w:rsidRPr="00623179">
              <w:rPr>
                <w:rFonts w:eastAsia="Times New Roman"/>
                <w:sz w:val="20"/>
                <w:szCs w:val="20"/>
                <w:lang w:val="en-US"/>
              </w:rPr>
              <w:t>  </w:t>
            </w:r>
          </w:p>
        </w:tc>
        <w:tc>
          <w:tcPr>
            <w:tcW w:w="0" w:type="auto"/>
            <w:shd w:val="clear" w:color="auto" w:fill="FFFFFF"/>
            <w:noWrap/>
            <w:hideMark/>
          </w:tcPr>
          <w:p w:rsidRPr="00623179" w:rsidR="00623179" w:rsidP="00623179" w:rsidRDefault="00623179">
            <w:pPr>
              <w:rPr>
                <w:rFonts w:eastAsia="Times New Roman"/>
                <w:sz w:val="20"/>
                <w:szCs w:val="20"/>
                <w:lang w:val="en-US"/>
              </w:rPr>
            </w:pPr>
            <w:r w:rsidRPr="00623179">
              <w:rPr>
                <w:rFonts w:eastAsia="Times New Roman"/>
                <w:sz w:val="20"/>
                <w:szCs w:val="20"/>
                <w:lang w:val="en-US"/>
              </w:rPr>
              <w:t>VICI 3.875%</w:t>
            </w:r>
            <w:r w:rsidRPr="00623179">
              <w:rPr>
                <w:rFonts w:eastAsia="Times New Roman"/>
                <w:sz w:val="20"/>
                <w:szCs w:val="20"/>
                <w:lang w:val="en-US"/>
              </w:rPr>
              <w:br/>
              <w:t>Senior Notes due</w:t>
            </w:r>
            <w:r w:rsidRPr="00623179">
              <w:rPr>
                <w:rFonts w:eastAsia="Times New Roman"/>
                <w:sz w:val="20"/>
                <w:szCs w:val="20"/>
                <w:lang w:val="en-US"/>
              </w:rPr>
              <w:br/>
              <w:t>2029</w:t>
            </w:r>
          </w:p>
        </w:tc>
        <w:tc>
          <w:tcPr>
            <w:tcW w:w="0" w:type="auto"/>
            <w:shd w:val="clear" w:color="auto" w:fill="FFFFFF"/>
            <w:vAlign w:val="bottom"/>
            <w:hideMark/>
          </w:tcPr>
          <w:p w:rsidRPr="00623179" w:rsidR="00623179" w:rsidP="00623179" w:rsidRDefault="00623179">
            <w:pPr>
              <w:rPr>
                <w:rFonts w:eastAsia="Times New Roman"/>
                <w:sz w:val="20"/>
                <w:szCs w:val="20"/>
                <w:lang w:val="en-US"/>
              </w:rPr>
            </w:pPr>
            <w:r w:rsidRPr="00623179">
              <w:rPr>
                <w:rFonts w:eastAsia="Times New Roman"/>
                <w:sz w:val="20"/>
                <w:szCs w:val="20"/>
                <w:lang w:val="en-US"/>
              </w:rPr>
              <w:t> </w:t>
            </w:r>
          </w:p>
        </w:tc>
        <w:tc>
          <w:tcPr>
            <w:tcW w:w="0" w:type="auto"/>
            <w:shd w:val="clear" w:color="auto" w:fill="FFFFFF"/>
            <w:noWrap/>
            <w:hideMark/>
          </w:tcPr>
          <w:p w:rsidRPr="00623179" w:rsidR="00623179" w:rsidP="00623179" w:rsidRDefault="00623179">
            <w:pPr>
              <w:rPr>
                <w:rFonts w:eastAsia="Times New Roman"/>
                <w:sz w:val="20"/>
                <w:szCs w:val="20"/>
                <w:lang w:val="en-US"/>
              </w:rPr>
            </w:pPr>
            <w:r w:rsidRPr="00623179">
              <w:rPr>
                <w:rFonts w:eastAsia="Times New Roman"/>
                <w:sz w:val="20"/>
                <w:szCs w:val="20"/>
                <w:lang w:val="en-US"/>
              </w:rPr>
              <w:t>$</w:t>
            </w:r>
          </w:p>
        </w:tc>
        <w:tc>
          <w:tcPr>
            <w:tcW w:w="0" w:type="auto"/>
            <w:shd w:val="clear" w:color="auto" w:fill="FFFFFF"/>
            <w:noWrap/>
            <w:hideMark/>
          </w:tcPr>
          <w:p w:rsidRPr="00623179" w:rsidR="00623179" w:rsidP="00623179" w:rsidRDefault="00623179">
            <w:pPr>
              <w:jc w:val="right"/>
              <w:rPr>
                <w:rFonts w:eastAsia="Times New Roman"/>
                <w:sz w:val="20"/>
                <w:szCs w:val="20"/>
                <w:lang w:val="en-US"/>
              </w:rPr>
            </w:pPr>
            <w:r w:rsidRPr="00623179">
              <w:rPr>
                <w:rFonts w:eastAsia="Times New Roman"/>
                <w:sz w:val="20"/>
                <w:szCs w:val="20"/>
                <w:lang w:val="en-US"/>
              </w:rPr>
              <w:t>750,000,000</w:t>
            </w:r>
          </w:p>
        </w:tc>
        <w:tc>
          <w:tcPr>
            <w:tcW w:w="0" w:type="auto"/>
            <w:shd w:val="clear" w:color="auto" w:fill="FFFFFF"/>
            <w:noWrap/>
            <w:hideMark/>
          </w:tcPr>
          <w:p w:rsidRPr="00623179" w:rsidR="00623179" w:rsidP="00623179" w:rsidRDefault="00623179">
            <w:pPr>
              <w:rPr>
                <w:rFonts w:eastAsia="Times New Roman"/>
                <w:sz w:val="20"/>
                <w:szCs w:val="20"/>
                <w:lang w:val="en-US"/>
              </w:rPr>
            </w:pPr>
            <w:r w:rsidRPr="00623179">
              <w:rPr>
                <w:rFonts w:eastAsia="Times New Roman"/>
                <w:sz w:val="20"/>
                <w:szCs w:val="20"/>
                <w:lang w:val="en-US"/>
              </w:rPr>
              <w:t> </w:t>
            </w:r>
          </w:p>
        </w:tc>
        <w:tc>
          <w:tcPr>
            <w:tcW w:w="0" w:type="auto"/>
            <w:shd w:val="clear" w:color="auto" w:fill="FFFFFF"/>
            <w:vAlign w:val="bottom"/>
            <w:hideMark/>
          </w:tcPr>
          <w:p w:rsidRPr="00623179" w:rsidR="00623179" w:rsidP="00623179" w:rsidRDefault="00623179">
            <w:pPr>
              <w:rPr>
                <w:rFonts w:eastAsia="Times New Roman"/>
                <w:sz w:val="20"/>
                <w:szCs w:val="20"/>
                <w:lang w:val="en-US"/>
              </w:rPr>
            </w:pPr>
            <w:r w:rsidRPr="00623179">
              <w:rPr>
                <w:rFonts w:eastAsia="Times New Roman"/>
                <w:sz w:val="20"/>
                <w:szCs w:val="20"/>
                <w:lang w:val="en-US"/>
              </w:rPr>
              <w:t>  </w:t>
            </w:r>
          </w:p>
        </w:tc>
        <w:tc>
          <w:tcPr>
            <w:tcW w:w="0" w:type="auto"/>
            <w:shd w:val="clear" w:color="auto" w:fill="FFFFFF"/>
            <w:noWrap/>
            <w:hideMark/>
          </w:tcPr>
          <w:p w:rsidRPr="00623179" w:rsidR="00623179" w:rsidP="00623179" w:rsidRDefault="00623179">
            <w:pPr>
              <w:rPr>
                <w:rFonts w:eastAsia="Times New Roman"/>
                <w:sz w:val="20"/>
                <w:szCs w:val="20"/>
                <w:lang w:val="en-US"/>
              </w:rPr>
            </w:pPr>
            <w:r w:rsidRPr="00623179">
              <w:rPr>
                <w:rFonts w:eastAsia="Times New Roman"/>
                <w:sz w:val="20"/>
                <w:szCs w:val="20"/>
                <w:lang w:val="en-US"/>
              </w:rPr>
              <w:t>$</w:t>
            </w:r>
          </w:p>
        </w:tc>
        <w:tc>
          <w:tcPr>
            <w:tcW w:w="0" w:type="auto"/>
            <w:shd w:val="clear" w:color="auto" w:fill="FFFFFF"/>
            <w:noWrap/>
            <w:hideMark/>
          </w:tcPr>
          <w:p w:rsidRPr="00623179" w:rsidR="00623179" w:rsidP="00623179" w:rsidRDefault="00623179">
            <w:pPr>
              <w:jc w:val="right"/>
              <w:rPr>
                <w:rFonts w:eastAsia="Times New Roman"/>
                <w:sz w:val="20"/>
                <w:szCs w:val="20"/>
                <w:lang w:val="en-US"/>
              </w:rPr>
            </w:pPr>
            <w:r w:rsidRPr="00623179">
              <w:rPr>
                <w:rFonts w:eastAsia="Times New Roman"/>
                <w:sz w:val="20"/>
                <w:szCs w:val="20"/>
                <w:lang w:val="en-US"/>
              </w:rPr>
              <w:t>727,114,000</w:t>
            </w:r>
          </w:p>
        </w:tc>
        <w:tc>
          <w:tcPr>
            <w:tcW w:w="0" w:type="auto"/>
            <w:shd w:val="clear" w:color="auto" w:fill="FFFFFF"/>
            <w:noWrap/>
            <w:hideMark/>
          </w:tcPr>
          <w:p w:rsidRPr="00623179" w:rsidR="00623179" w:rsidP="00623179" w:rsidRDefault="00623179">
            <w:pPr>
              <w:rPr>
                <w:rFonts w:eastAsia="Times New Roman"/>
                <w:sz w:val="20"/>
                <w:szCs w:val="20"/>
                <w:lang w:val="en-US"/>
              </w:rPr>
            </w:pPr>
            <w:r w:rsidRPr="00623179">
              <w:rPr>
                <w:rFonts w:eastAsia="Times New Roman"/>
                <w:sz w:val="20"/>
                <w:szCs w:val="20"/>
                <w:lang w:val="en-US"/>
              </w:rPr>
              <w:t> </w:t>
            </w:r>
          </w:p>
        </w:tc>
        <w:tc>
          <w:tcPr>
            <w:tcW w:w="0" w:type="auto"/>
            <w:shd w:val="clear" w:color="auto" w:fill="FFFFFF"/>
            <w:vAlign w:val="bottom"/>
            <w:hideMark/>
          </w:tcPr>
          <w:p w:rsidRPr="00623179" w:rsidR="00623179" w:rsidP="00623179" w:rsidRDefault="00623179">
            <w:pPr>
              <w:rPr>
                <w:rFonts w:eastAsia="Times New Roman"/>
                <w:sz w:val="20"/>
                <w:szCs w:val="20"/>
                <w:lang w:val="en-US"/>
              </w:rPr>
            </w:pPr>
            <w:r w:rsidRPr="00623179">
              <w:rPr>
                <w:rFonts w:eastAsia="Times New Roman"/>
                <w:sz w:val="20"/>
                <w:szCs w:val="20"/>
                <w:lang w:val="en-US"/>
              </w:rPr>
              <w:t>  </w:t>
            </w:r>
          </w:p>
        </w:tc>
        <w:tc>
          <w:tcPr>
            <w:tcW w:w="0" w:type="auto"/>
            <w:shd w:val="clear" w:color="auto" w:fill="FFFFFF"/>
            <w:noWrap/>
            <w:hideMark/>
          </w:tcPr>
          <w:p w:rsidRPr="00623179" w:rsidR="00623179" w:rsidP="00623179" w:rsidRDefault="00623179">
            <w:pPr>
              <w:rPr>
                <w:rFonts w:eastAsia="Times New Roman"/>
                <w:sz w:val="20"/>
                <w:szCs w:val="20"/>
                <w:lang w:val="en-US"/>
              </w:rPr>
            </w:pPr>
            <w:r w:rsidRPr="00623179">
              <w:rPr>
                <w:rFonts w:eastAsia="Times New Roman"/>
                <w:sz w:val="20"/>
                <w:szCs w:val="20"/>
                <w:lang w:val="en-US"/>
              </w:rPr>
              <w:t> </w:t>
            </w:r>
          </w:p>
        </w:tc>
        <w:tc>
          <w:tcPr>
            <w:tcW w:w="0" w:type="auto"/>
            <w:shd w:val="clear" w:color="auto" w:fill="FFFFFF"/>
            <w:noWrap/>
            <w:hideMark/>
          </w:tcPr>
          <w:p w:rsidRPr="00623179" w:rsidR="00623179" w:rsidP="00623179" w:rsidRDefault="00623179">
            <w:pPr>
              <w:jc w:val="right"/>
              <w:rPr>
                <w:rFonts w:eastAsia="Times New Roman"/>
                <w:sz w:val="20"/>
                <w:szCs w:val="20"/>
                <w:lang w:val="en-US"/>
              </w:rPr>
            </w:pPr>
            <w:r w:rsidRPr="00623179">
              <w:rPr>
                <w:rFonts w:eastAsia="Times New Roman"/>
                <w:sz w:val="20"/>
                <w:szCs w:val="20"/>
                <w:lang w:val="en-US"/>
              </w:rPr>
              <w:t>96.95</w:t>
            </w:r>
          </w:p>
        </w:tc>
        <w:tc>
          <w:tcPr>
            <w:tcW w:w="0" w:type="auto"/>
            <w:shd w:val="clear" w:color="auto" w:fill="FFFFFF"/>
            <w:noWrap/>
            <w:hideMark/>
          </w:tcPr>
          <w:p w:rsidRPr="00623179" w:rsidR="00623179" w:rsidP="00623179" w:rsidRDefault="00623179">
            <w:pPr>
              <w:rPr>
                <w:rFonts w:eastAsia="Times New Roman"/>
                <w:sz w:val="20"/>
                <w:szCs w:val="20"/>
                <w:lang w:val="en-US"/>
              </w:rPr>
            </w:pPr>
            <w:r w:rsidRPr="00623179">
              <w:rPr>
                <w:rFonts w:eastAsia="Times New Roman"/>
                <w:sz w:val="20"/>
                <w:szCs w:val="20"/>
                <w:lang w:val="en-US"/>
              </w:rPr>
              <w:t>% </w:t>
            </w:r>
          </w:p>
        </w:tc>
      </w:tr>
    </w:tbl>
    <w:p w:rsidR="00623179" w:rsidRDefault="00A17D23">
      <w:pPr>
        <w:pStyle w:val="AOAltHead3"/>
        <w:rPr>
          <w:lang w:val="en-US"/>
        </w:rPr>
      </w:pPr>
      <w:r>
        <w:rPr>
          <w:lang w:val="en-US"/>
        </w:rPr>
        <w:t xml:space="preserve">On April </w:t>
      </w:r>
      <w:r w:rsidR="00623179">
        <w:rPr>
          <w:lang w:val="en-US"/>
        </w:rPr>
        <w:t>29, 2022:</w:t>
      </w:r>
    </w:p>
    <w:p w:rsidR="00A17D23" w:rsidP="00623179" w:rsidRDefault="00AE0C66">
      <w:pPr>
        <w:pStyle w:val="AOHead4"/>
        <w:rPr>
          <w:lang w:val="en-US"/>
        </w:rPr>
      </w:pPr>
      <w:r>
        <w:rPr>
          <w:lang w:val="en-US"/>
        </w:rPr>
        <w:t xml:space="preserve">VICI LP and MGM LP announced </w:t>
      </w:r>
      <w:r w:rsidR="00623179">
        <w:rPr>
          <w:lang w:val="en-US"/>
        </w:rPr>
        <w:t>that April 29, 2022</w:t>
      </w:r>
      <w:r w:rsidR="00196A34">
        <w:rPr>
          <w:lang w:val="en-US"/>
        </w:rPr>
        <w:t>,</w:t>
      </w:r>
      <w:r w:rsidR="00623179">
        <w:rPr>
          <w:lang w:val="en-US"/>
        </w:rPr>
        <w:t xml:space="preserve"> was the closing date of the Mergers; and</w:t>
      </w:r>
    </w:p>
    <w:p w:rsidR="00EC0446" w:rsidP="00623179" w:rsidRDefault="00623179">
      <w:pPr>
        <w:pStyle w:val="AOHead4"/>
        <w:rPr>
          <w:lang w:val="en-US"/>
        </w:rPr>
      </w:pPr>
      <w:r>
        <w:rPr>
          <w:lang w:val="en-US"/>
        </w:rPr>
        <w:t xml:space="preserve">The new VICI notes </w:t>
      </w:r>
      <w:proofErr w:type="gramStart"/>
      <w:r>
        <w:rPr>
          <w:lang w:val="en-US"/>
        </w:rPr>
        <w:t>were issued</w:t>
      </w:r>
      <w:proofErr w:type="gramEnd"/>
      <w:r>
        <w:rPr>
          <w:lang w:val="en-US"/>
        </w:rPr>
        <w:t xml:space="preserve"> </w:t>
      </w:r>
      <w:r w:rsidR="00A96E7D">
        <w:rPr>
          <w:lang w:val="en-US"/>
        </w:rPr>
        <w:t xml:space="preserve">on such date </w:t>
      </w:r>
      <w:r>
        <w:rPr>
          <w:lang w:val="en-US"/>
        </w:rPr>
        <w:t xml:space="preserve">in exchange for the MGM LP debt that was the subject of the </w:t>
      </w:r>
      <w:r w:rsidR="00041259">
        <w:rPr>
          <w:lang w:val="en-US"/>
        </w:rPr>
        <w:t>Exchange</w:t>
      </w:r>
      <w:r>
        <w:rPr>
          <w:lang w:val="en-US"/>
        </w:rPr>
        <w:t>.</w:t>
      </w:r>
      <w:r>
        <w:rPr>
          <w:rStyle w:val="FootnoteReference"/>
          <w:lang w:val="en-US"/>
        </w:rPr>
        <w:footnoteReference w:id="9"/>
      </w:r>
    </w:p>
    <w:p w:rsidR="00766A26" w:rsidP="00766A26" w:rsidRDefault="00766A26">
      <w:pPr>
        <w:pStyle w:val="AOHead1"/>
        <w:rPr>
          <w:lang w:val="en-US"/>
        </w:rPr>
      </w:pPr>
      <w:r>
        <w:rPr>
          <w:lang w:val="en-US"/>
        </w:rPr>
        <w:t xml:space="preserve">Relevant Obligations of </w:t>
      </w:r>
      <w:r w:rsidR="005B5BE5">
        <w:rPr>
          <w:lang w:val="en-US"/>
        </w:rPr>
        <w:t>MGM LP</w:t>
      </w:r>
    </w:p>
    <w:p w:rsidRPr="00CA4703" w:rsidR="00715005" w:rsidP="00CA4703" w:rsidRDefault="00D064DF">
      <w:pPr>
        <w:pStyle w:val="AOAltHead3"/>
        <w:numPr>
          <w:ilvl w:val="0"/>
          <w:numId w:val="0"/>
        </w:numPr>
        <w:ind w:left="720"/>
        <w:rPr>
          <w:lang w:val="en-US"/>
        </w:rPr>
      </w:pPr>
      <w:r w:rsidRPr="00797298">
        <w:rPr>
          <w:lang w:val="en-US"/>
        </w:rPr>
        <w:t>Based on Eligible Information</w:t>
      </w:r>
      <w:r w:rsidR="002D39D3">
        <w:rPr>
          <w:lang w:val="en-US"/>
        </w:rPr>
        <w:t>,</w:t>
      </w:r>
      <w:r w:rsidRPr="00797298">
        <w:rPr>
          <w:lang w:val="en-US"/>
        </w:rPr>
        <w:t xml:space="preserve"> the Americas DC did not identify any </w:t>
      </w:r>
      <w:r w:rsidR="00041259">
        <w:rPr>
          <w:lang w:val="en-US"/>
        </w:rPr>
        <w:t xml:space="preserve">material </w:t>
      </w:r>
      <w:r w:rsidRPr="00797298">
        <w:rPr>
          <w:lang w:val="en-US"/>
        </w:rPr>
        <w:t xml:space="preserve">debt of </w:t>
      </w:r>
      <w:r w:rsidR="00CA4703">
        <w:rPr>
          <w:lang w:val="en-US"/>
        </w:rPr>
        <w:t>MGM LP</w:t>
      </w:r>
      <w:r w:rsidR="00C50FB1">
        <w:rPr>
          <w:lang w:val="en-US"/>
        </w:rPr>
        <w:t xml:space="preserve"> </w:t>
      </w:r>
      <w:r w:rsidRPr="00797298">
        <w:rPr>
          <w:lang w:val="en-US"/>
        </w:rPr>
        <w:t xml:space="preserve">that was outstanding </w:t>
      </w:r>
      <w:r w:rsidR="00CA4703">
        <w:rPr>
          <w:lang w:val="en-US"/>
        </w:rPr>
        <w:t xml:space="preserve">as of the settlement date of the </w:t>
      </w:r>
      <w:r w:rsidR="00A96E7D">
        <w:rPr>
          <w:lang w:val="en-US"/>
        </w:rPr>
        <w:t>E</w:t>
      </w:r>
      <w:r w:rsidR="00CA4703">
        <w:rPr>
          <w:lang w:val="en-US"/>
        </w:rPr>
        <w:t>xchange (April 2</w:t>
      </w:r>
      <w:r w:rsidR="00101876">
        <w:rPr>
          <w:lang w:val="en-US"/>
        </w:rPr>
        <w:t>9, 2022) other than the MGM LP N</w:t>
      </w:r>
      <w:r w:rsidR="00CA4703">
        <w:rPr>
          <w:lang w:val="en-US"/>
        </w:rPr>
        <w:t>otes that were the subject</w:t>
      </w:r>
      <w:r w:rsidR="00A96E7D">
        <w:rPr>
          <w:lang w:val="en-US"/>
        </w:rPr>
        <w:t xml:space="preserve"> of the E</w:t>
      </w:r>
      <w:r w:rsidR="00CA4703">
        <w:rPr>
          <w:lang w:val="en-US"/>
        </w:rPr>
        <w:t>xchange</w:t>
      </w:r>
      <w:r w:rsidRPr="00797298">
        <w:rPr>
          <w:lang w:val="en-US"/>
        </w:rPr>
        <w:t>.</w:t>
      </w:r>
      <w:r w:rsidR="00CA4703">
        <w:rPr>
          <w:rStyle w:val="FootnoteReference"/>
          <w:lang w:val="en-US"/>
        </w:rPr>
        <w:footnoteReference w:id="10"/>
      </w:r>
    </w:p>
    <w:p w:rsidR="003A55E5" w:rsidP="00D46965" w:rsidRDefault="00F018B3">
      <w:pPr>
        <w:pStyle w:val="AOHead1"/>
        <w:rPr>
          <w:lang w:val="en-US"/>
        </w:rPr>
      </w:pPr>
      <w:r>
        <w:rPr>
          <w:lang w:val="en-US"/>
        </w:rPr>
        <w:lastRenderedPageBreak/>
        <w:t xml:space="preserve">Approach under the </w:t>
      </w:r>
      <w:r w:rsidR="00763407">
        <w:rPr>
          <w:lang w:val="en-US"/>
        </w:rPr>
        <w:t xml:space="preserve">2014 </w:t>
      </w:r>
      <w:r>
        <w:rPr>
          <w:lang w:val="en-US"/>
        </w:rPr>
        <w:t>Definitions</w:t>
      </w:r>
    </w:p>
    <w:p w:rsidR="00631BE8" w:rsidP="00F018B3" w:rsidRDefault="00F018B3">
      <w:pPr>
        <w:pStyle w:val="AODocTxtL1"/>
        <w:rPr>
          <w:lang w:val="en-US"/>
        </w:rPr>
      </w:pPr>
      <w:r>
        <w:rPr>
          <w:lang w:val="en-US"/>
        </w:rPr>
        <w:t xml:space="preserve">Under the 2014 Definitions, the determination of a Successor focuses on the proportion of </w:t>
      </w:r>
      <w:r w:rsidR="00AD217A">
        <w:rPr>
          <w:lang w:val="en-US"/>
        </w:rPr>
        <w:t>"</w:t>
      </w:r>
      <w:r>
        <w:rPr>
          <w:lang w:val="en-US"/>
        </w:rPr>
        <w:t>Relevant Obligations</w:t>
      </w:r>
      <w:r w:rsidR="00AD217A">
        <w:rPr>
          <w:lang w:val="en-US"/>
        </w:rPr>
        <w:t>"</w:t>
      </w:r>
      <w:r>
        <w:rPr>
          <w:lang w:val="en-US"/>
        </w:rPr>
        <w:t xml:space="preserve"> that an entity</w:t>
      </w:r>
      <w:r w:rsidR="009C2310">
        <w:rPr>
          <w:lang w:val="en-US"/>
        </w:rPr>
        <w:t xml:space="preserve"> </w:t>
      </w:r>
      <w:r w:rsidR="00AD217A">
        <w:rPr>
          <w:lang w:val="en-US"/>
        </w:rPr>
        <w:t>"</w:t>
      </w:r>
      <w:r w:rsidR="00035EFB">
        <w:rPr>
          <w:lang w:val="en-US"/>
        </w:rPr>
        <w:t>succeeds</w:t>
      </w:r>
      <w:r w:rsidR="00AD217A">
        <w:rPr>
          <w:lang w:val="en-US"/>
        </w:rPr>
        <w:t>"</w:t>
      </w:r>
      <w:r w:rsidR="00035EFB">
        <w:rPr>
          <w:lang w:val="en-US"/>
        </w:rPr>
        <w:t xml:space="preserve"> to on a given date.</w:t>
      </w:r>
    </w:p>
    <w:p w:rsidRPr="00F22E37" w:rsidR="00F22E37" w:rsidP="00631BE8" w:rsidRDefault="00A0341D">
      <w:pPr>
        <w:pStyle w:val="AODocTxtL1"/>
        <w:rPr>
          <w:lang w:val="en-US"/>
        </w:rPr>
      </w:pPr>
      <w:r>
        <w:rPr>
          <w:lang w:val="en-US"/>
        </w:rPr>
        <w:t xml:space="preserve">Pursuant to the Exchange, </w:t>
      </w:r>
      <w:r w:rsidR="00A96E7D">
        <w:rPr>
          <w:lang w:val="en-US"/>
        </w:rPr>
        <w:t>MGM LP</w:t>
      </w:r>
      <w:r w:rsidR="00AB5CA9">
        <w:rPr>
          <w:lang w:val="en-US"/>
        </w:rPr>
        <w:t xml:space="preserve"> </w:t>
      </w:r>
      <w:r w:rsidR="00A96E7D">
        <w:rPr>
          <w:lang w:val="en-US"/>
        </w:rPr>
        <w:t>n</w:t>
      </w:r>
      <w:r w:rsidR="00AB5CA9">
        <w:rPr>
          <w:lang w:val="en-US"/>
        </w:rPr>
        <w:t>otes</w:t>
      </w:r>
      <w:r>
        <w:rPr>
          <w:lang w:val="en-US"/>
        </w:rPr>
        <w:t xml:space="preserve"> </w:t>
      </w:r>
      <w:proofErr w:type="gramStart"/>
      <w:r>
        <w:rPr>
          <w:lang w:val="en-US"/>
        </w:rPr>
        <w:t>were exchanged</w:t>
      </w:r>
      <w:proofErr w:type="gramEnd"/>
      <w:r w:rsidR="00C706D9">
        <w:rPr>
          <w:lang w:val="en-US"/>
        </w:rPr>
        <w:t xml:space="preserve"> for </w:t>
      </w:r>
      <w:r w:rsidR="00C265FD">
        <w:rPr>
          <w:lang w:val="en-US"/>
        </w:rPr>
        <w:t>new VICI</w:t>
      </w:r>
      <w:r w:rsidR="00A96E7D">
        <w:rPr>
          <w:lang w:val="en-US"/>
        </w:rPr>
        <w:t xml:space="preserve"> notes</w:t>
      </w:r>
      <w:r w:rsidR="00C706D9">
        <w:rPr>
          <w:lang w:val="en-US"/>
        </w:rPr>
        <w:t xml:space="preserve">, which were issued on </w:t>
      </w:r>
      <w:r w:rsidR="00A96E7D">
        <w:rPr>
          <w:lang w:val="en-US"/>
        </w:rPr>
        <w:t>April 29, 2022</w:t>
      </w:r>
      <w:r w:rsidR="005F33A6">
        <w:rPr>
          <w:lang w:val="en-US"/>
        </w:rPr>
        <w:t>.</w:t>
      </w:r>
      <w:r w:rsidR="00631BE8">
        <w:rPr>
          <w:lang w:val="en-US"/>
        </w:rPr>
        <w:t xml:space="preserve">  Therefore, t</w:t>
      </w:r>
      <w:r w:rsidR="00F22E37">
        <w:rPr>
          <w:lang w:val="en-US"/>
        </w:rPr>
        <w:t xml:space="preserve">he </w:t>
      </w:r>
      <w:r w:rsidR="00176F93">
        <w:rPr>
          <w:lang w:val="en-US"/>
        </w:rPr>
        <w:t xml:space="preserve">Americas DC identified </w:t>
      </w:r>
      <w:r w:rsidR="00A96E7D">
        <w:rPr>
          <w:lang w:val="en-US"/>
        </w:rPr>
        <w:t>April 29, 2022</w:t>
      </w:r>
      <w:r w:rsidR="00763407">
        <w:rPr>
          <w:lang w:val="en-US"/>
        </w:rPr>
        <w:t xml:space="preserve"> as</w:t>
      </w:r>
      <w:r w:rsidR="00343937">
        <w:rPr>
          <w:lang w:val="en-US"/>
        </w:rPr>
        <w:t xml:space="preserve"> the relevant potential </w:t>
      </w:r>
      <w:r w:rsidR="00176F93">
        <w:rPr>
          <w:lang w:val="en-US"/>
        </w:rPr>
        <w:t xml:space="preserve">Succession Date </w:t>
      </w:r>
      <w:r w:rsidR="00343937">
        <w:rPr>
          <w:lang w:val="en-US"/>
        </w:rPr>
        <w:t>for purposes of the 2014 Definitions</w:t>
      </w:r>
      <w:r w:rsidR="00176F93">
        <w:rPr>
          <w:lang w:val="en-US"/>
        </w:rPr>
        <w:t>.</w:t>
      </w:r>
      <w:r w:rsidR="00582318">
        <w:rPr>
          <w:rStyle w:val="FootnoteReference"/>
          <w:lang w:val="en-US"/>
        </w:rPr>
        <w:footnoteReference w:id="11"/>
      </w:r>
      <w:r w:rsidR="009C2310">
        <w:rPr>
          <w:lang w:val="en-US"/>
        </w:rPr>
        <w:t xml:space="preserve">  </w:t>
      </w:r>
    </w:p>
    <w:p w:rsidR="00F018B3" w:rsidP="00F018B3" w:rsidRDefault="00F018B3">
      <w:pPr>
        <w:pStyle w:val="AOHead1"/>
        <w:rPr>
          <w:lang w:val="en-US"/>
        </w:rPr>
      </w:pPr>
      <w:r>
        <w:rPr>
          <w:lang w:val="en-US"/>
        </w:rPr>
        <w:t>Analysis under the 2014 Definitions</w:t>
      </w:r>
    </w:p>
    <w:p w:rsidR="00823B11" w:rsidRDefault="00823B11">
      <w:pPr>
        <w:pStyle w:val="AOAltHead3"/>
        <w:rPr>
          <w:lang w:val="en-US"/>
        </w:rPr>
      </w:pPr>
      <w:proofErr w:type="gramStart"/>
      <w:r>
        <w:rPr>
          <w:lang w:val="en-US"/>
        </w:rPr>
        <w:t>Under the 2014 Definitions, a</w:t>
      </w:r>
      <w:r w:rsidRPr="00AD19D0">
        <w:rPr>
          <w:lang w:val="en-US"/>
        </w:rPr>
        <w:t xml:space="preserve">n entity </w:t>
      </w:r>
      <w:r w:rsidR="00AD217A">
        <w:rPr>
          <w:lang w:val="en-US"/>
        </w:rPr>
        <w:t>"</w:t>
      </w:r>
      <w:r w:rsidRPr="00AD19D0">
        <w:rPr>
          <w:lang w:val="en-US"/>
        </w:rPr>
        <w:t>succeeds</w:t>
      </w:r>
      <w:r w:rsidR="00AD217A">
        <w:rPr>
          <w:lang w:val="en-US"/>
        </w:rPr>
        <w:t>"</w:t>
      </w:r>
      <w:r w:rsidRPr="00AD19D0">
        <w:rPr>
          <w:lang w:val="en-US"/>
        </w:rPr>
        <w:t xml:space="preserve"> to a Reference Entity and its Relevant Obligations when it </w:t>
      </w:r>
      <w:r w:rsidR="00AD217A">
        <w:rPr>
          <w:lang w:val="en-US"/>
        </w:rPr>
        <w:t>"</w:t>
      </w:r>
      <w:r w:rsidRPr="002B0539">
        <w:rPr>
          <w:lang w:val="en-US"/>
        </w:rPr>
        <w:t>(</w:t>
      </w:r>
      <w:proofErr w:type="spellStart"/>
      <w:r w:rsidRPr="002B0539">
        <w:rPr>
          <w:lang w:val="en-US"/>
        </w:rPr>
        <w:t>i</w:t>
      </w:r>
      <w:proofErr w:type="spellEnd"/>
      <w:r w:rsidRPr="002B0539">
        <w:rPr>
          <w:lang w:val="en-US"/>
        </w:rPr>
        <w:t xml:space="preserve">) assumes or becomes liable for such Relevant Obligations whether by operation of law or pursuant to any agreement […] or (ii) issues Bonds or incurs Loans (the </w:t>
      </w:r>
      <w:r w:rsidR="00A0341D">
        <w:rPr>
          <w:lang w:val="en-US"/>
        </w:rPr>
        <w:t>"</w:t>
      </w:r>
      <w:r w:rsidRPr="002B0539">
        <w:rPr>
          <w:lang w:val="en-US"/>
        </w:rPr>
        <w:t>Exchange Bonds or Loans</w:t>
      </w:r>
      <w:r w:rsidR="00A0341D">
        <w:rPr>
          <w:lang w:val="en-US"/>
        </w:rPr>
        <w:t>"</w:t>
      </w:r>
      <w:r w:rsidRPr="002B0539">
        <w:rPr>
          <w:lang w:val="en-US"/>
        </w:rPr>
        <w:t>) that are exchanged for Relevant Obligations, and in either case the Reference Entity is not thereafter a direct obligor or a provider of a Relevant Guarantee with respect to such Relevant Obligations or such Exchange Bonds or Loans, as applicable</w:t>
      </w:r>
      <w:r w:rsidR="00AD217A">
        <w:rPr>
          <w:lang w:val="en-US"/>
        </w:rPr>
        <w:t>"</w:t>
      </w:r>
      <w:r w:rsidRPr="002B0539">
        <w:rPr>
          <w:lang w:val="en-US"/>
        </w:rPr>
        <w:t>.</w:t>
      </w:r>
      <w:r w:rsidRPr="002B0539">
        <w:rPr>
          <w:rStyle w:val="FootnoteReference"/>
          <w:color w:val="000000" w:themeColor="text1"/>
          <w:lang w:val="en-US"/>
        </w:rPr>
        <w:footnoteReference w:id="12"/>
      </w:r>
      <w:proofErr w:type="gramEnd"/>
      <w:r w:rsidRPr="002B0539">
        <w:rPr>
          <w:lang w:val="en-US"/>
        </w:rPr>
        <w:t xml:space="preserve"> </w:t>
      </w:r>
      <w:r w:rsidR="00AD217A">
        <w:rPr>
          <w:lang w:val="en-US"/>
        </w:rPr>
        <w:t>"</w:t>
      </w:r>
      <w:r w:rsidRPr="002B0539">
        <w:rPr>
          <w:lang w:val="en-US"/>
        </w:rPr>
        <w:t>Relevant Obligations</w:t>
      </w:r>
      <w:r w:rsidR="00AD217A">
        <w:rPr>
          <w:lang w:val="en-US"/>
        </w:rPr>
        <w:t>"</w:t>
      </w:r>
      <w:r w:rsidRPr="002B0539">
        <w:rPr>
          <w:lang w:val="en-US"/>
        </w:rPr>
        <w:t xml:space="preserve"> </w:t>
      </w:r>
      <w:proofErr w:type="gramStart"/>
      <w:r w:rsidRPr="002B0539">
        <w:rPr>
          <w:lang w:val="en-US"/>
        </w:rPr>
        <w:t>are defined</w:t>
      </w:r>
      <w:proofErr w:type="gramEnd"/>
      <w:r w:rsidRPr="002B0539">
        <w:rPr>
          <w:lang w:val="en-US"/>
        </w:rPr>
        <w:t xml:space="preserve"> to mean </w:t>
      </w:r>
      <w:r w:rsidR="00AD217A">
        <w:rPr>
          <w:lang w:val="en-US"/>
        </w:rPr>
        <w:t>"</w:t>
      </w:r>
      <w:r w:rsidRPr="002B0539">
        <w:rPr>
          <w:lang w:val="en-US"/>
        </w:rPr>
        <w:t xml:space="preserve">the Obligations of the Reference Entity which fall within the Obligation Category </w:t>
      </w:r>
      <w:r w:rsidR="00AD217A">
        <w:rPr>
          <w:lang w:val="en-US"/>
        </w:rPr>
        <w:t>"</w:t>
      </w:r>
      <w:r w:rsidRPr="002B0539">
        <w:rPr>
          <w:lang w:val="en-US"/>
        </w:rPr>
        <w:t>Bond or Loan</w:t>
      </w:r>
      <w:r w:rsidR="00AD217A">
        <w:rPr>
          <w:lang w:val="en-US"/>
        </w:rPr>
        <w:t>"</w:t>
      </w:r>
      <w:r w:rsidRPr="002B0539">
        <w:rPr>
          <w:lang w:val="en-US"/>
        </w:rPr>
        <w:t xml:space="preserve"> and which are outstanding immediately prior to the Succession Date</w:t>
      </w:r>
      <w:r w:rsidR="00AD217A">
        <w:rPr>
          <w:lang w:val="en-US"/>
        </w:rPr>
        <w:t>"</w:t>
      </w:r>
      <w:r w:rsidRPr="002B0539">
        <w:rPr>
          <w:lang w:val="en-US"/>
        </w:rPr>
        <w:t>.</w:t>
      </w:r>
      <w:r w:rsidRPr="002B0539">
        <w:rPr>
          <w:rStyle w:val="FootnoteReference"/>
          <w:color w:val="000000" w:themeColor="text1"/>
          <w:lang w:val="en-US"/>
        </w:rPr>
        <w:footnoteReference w:id="13"/>
      </w:r>
      <w:r w:rsidR="002B0539">
        <w:rPr>
          <w:lang w:val="en-US"/>
        </w:rPr>
        <w:t xml:space="preserve"> </w:t>
      </w:r>
      <w:r w:rsidR="00733EED">
        <w:rPr>
          <w:lang w:val="en-US"/>
        </w:rPr>
        <w:t xml:space="preserve"> The term </w:t>
      </w:r>
      <w:r w:rsidR="00AD217A">
        <w:rPr>
          <w:lang w:val="en-US"/>
        </w:rPr>
        <w:t>"</w:t>
      </w:r>
      <w:r w:rsidR="00733EED">
        <w:rPr>
          <w:lang w:val="en-US"/>
        </w:rPr>
        <w:t>Obligation</w:t>
      </w:r>
      <w:r w:rsidR="00AD217A">
        <w:rPr>
          <w:lang w:val="en-US"/>
        </w:rPr>
        <w:t>"</w:t>
      </w:r>
      <w:r w:rsidR="00733EED">
        <w:rPr>
          <w:lang w:val="en-US"/>
        </w:rPr>
        <w:t xml:space="preserve"> may include </w:t>
      </w:r>
      <w:r w:rsidR="00AD217A">
        <w:rPr>
          <w:lang w:val="en-US"/>
        </w:rPr>
        <w:t>"</w:t>
      </w:r>
      <w:r w:rsidR="00733EED">
        <w:rPr>
          <w:lang w:val="en-US"/>
        </w:rPr>
        <w:t>obligations of the Reference Entity (either directly or as provider of a Relevant Guarantee)</w:t>
      </w:r>
      <w:r w:rsidR="00AD217A">
        <w:rPr>
          <w:lang w:val="en-US"/>
        </w:rPr>
        <w:t>"</w:t>
      </w:r>
      <w:r w:rsidR="00A0341D">
        <w:rPr>
          <w:lang w:val="en-US"/>
        </w:rPr>
        <w:t>.</w:t>
      </w:r>
      <w:r w:rsidR="00733EED">
        <w:rPr>
          <w:rStyle w:val="FootnoteReference"/>
          <w:lang w:val="en-US"/>
        </w:rPr>
        <w:footnoteReference w:id="14"/>
      </w:r>
    </w:p>
    <w:p w:rsidR="00101876" w:rsidP="00101876" w:rsidRDefault="00035EFB">
      <w:pPr>
        <w:pStyle w:val="AOAltHead3"/>
        <w:rPr>
          <w:lang w:val="en-US"/>
        </w:rPr>
      </w:pPr>
      <w:proofErr w:type="gramStart"/>
      <w:r w:rsidRPr="005B5BE5">
        <w:rPr>
          <w:lang w:val="en-US"/>
        </w:rPr>
        <w:t xml:space="preserve">Because Relevant Obligations are determined </w:t>
      </w:r>
      <w:r w:rsidR="00AD217A">
        <w:rPr>
          <w:lang w:val="en-US"/>
        </w:rPr>
        <w:t>"</w:t>
      </w:r>
      <w:r w:rsidRPr="005B5BE5">
        <w:rPr>
          <w:lang w:val="en-US"/>
        </w:rPr>
        <w:t>immediately prior to the Succession Date</w:t>
      </w:r>
      <w:r w:rsidR="00AD217A">
        <w:rPr>
          <w:lang w:val="en-US"/>
        </w:rPr>
        <w:t>"</w:t>
      </w:r>
      <w:r w:rsidRPr="005B5BE5">
        <w:rPr>
          <w:lang w:val="en-US"/>
        </w:rPr>
        <w:t xml:space="preserve"> (in this case, </w:t>
      </w:r>
      <w:r w:rsidRPr="005B5BE5" w:rsidR="005B5BE5">
        <w:rPr>
          <w:lang w:val="en-US"/>
        </w:rPr>
        <w:t>April 29, 2022</w:t>
      </w:r>
      <w:r w:rsidRPr="005B5BE5">
        <w:rPr>
          <w:lang w:val="en-US"/>
        </w:rPr>
        <w:t>), t</w:t>
      </w:r>
      <w:r w:rsidRPr="005B5BE5" w:rsidR="003A55E5">
        <w:rPr>
          <w:lang w:val="en-US"/>
        </w:rPr>
        <w:t xml:space="preserve">he Americas DC determined that </w:t>
      </w:r>
      <w:r w:rsidR="00101876">
        <w:rPr>
          <w:lang w:val="en-US"/>
        </w:rPr>
        <w:t>all</w:t>
      </w:r>
      <w:r w:rsidRPr="005B5BE5" w:rsidR="00C816CB">
        <w:rPr>
          <w:lang w:val="en-US"/>
        </w:rPr>
        <w:t xml:space="preserve"> </w:t>
      </w:r>
      <w:r w:rsidRPr="005B5BE5" w:rsidR="005B5BE5">
        <w:rPr>
          <w:lang w:val="en-US"/>
        </w:rPr>
        <w:t>MGM LP</w:t>
      </w:r>
      <w:r w:rsidRPr="005B5BE5" w:rsidR="00C816CB">
        <w:rPr>
          <w:lang w:val="en-US"/>
        </w:rPr>
        <w:t xml:space="preserve"> </w:t>
      </w:r>
      <w:r w:rsidR="005B5BE5">
        <w:rPr>
          <w:lang w:val="en-US"/>
        </w:rPr>
        <w:t>N</w:t>
      </w:r>
      <w:r w:rsidRPr="005B5BE5" w:rsidR="00C816CB">
        <w:rPr>
          <w:lang w:val="en-US"/>
        </w:rPr>
        <w:t xml:space="preserve">otes </w:t>
      </w:r>
      <w:r w:rsidRPr="005B5BE5" w:rsidR="00CA0BBB">
        <w:rPr>
          <w:lang w:val="en-US"/>
        </w:rPr>
        <w:t>that</w:t>
      </w:r>
      <w:r w:rsidRPr="005B5BE5" w:rsidR="00C816CB">
        <w:rPr>
          <w:lang w:val="en-US"/>
        </w:rPr>
        <w:t xml:space="preserve"> were </w:t>
      </w:r>
      <w:r w:rsidR="00101876">
        <w:rPr>
          <w:lang w:val="en-US"/>
        </w:rPr>
        <w:t xml:space="preserve">outstanding immediately prior to April 29, 2022 constituted </w:t>
      </w:r>
      <w:r w:rsidRPr="005B5BE5" w:rsidR="00C816CB">
        <w:rPr>
          <w:lang w:val="en-US"/>
        </w:rPr>
        <w:t xml:space="preserve">Relevant Obligations </w:t>
      </w:r>
      <w:r w:rsidRPr="005B5BE5" w:rsidR="00825AAA">
        <w:rPr>
          <w:lang w:val="en-US"/>
        </w:rPr>
        <w:t xml:space="preserve">of </w:t>
      </w:r>
      <w:r w:rsidR="005B5BE5">
        <w:rPr>
          <w:lang w:val="en-US"/>
        </w:rPr>
        <w:t>MGM LP</w:t>
      </w:r>
      <w:r w:rsidR="00101876">
        <w:rPr>
          <w:lang w:val="en-US"/>
        </w:rPr>
        <w:t xml:space="preserve">, and that any MGM LP Notes that were </w:t>
      </w:r>
      <w:r w:rsidRPr="005B5BE5" w:rsidR="00101876">
        <w:rPr>
          <w:lang w:val="en-US"/>
        </w:rPr>
        <w:t>tendered and accepted in the Exchange Offer</w:t>
      </w:r>
      <w:r w:rsidR="00101876">
        <w:rPr>
          <w:lang w:val="en-US"/>
        </w:rPr>
        <w:t xml:space="preserve"> in exchange for new VICI notes</w:t>
      </w:r>
      <w:r w:rsidRPr="005B5BE5" w:rsidR="00C816CB">
        <w:rPr>
          <w:lang w:val="en-US"/>
        </w:rPr>
        <w:t xml:space="preserve"> were succeeded to by </w:t>
      </w:r>
      <w:r w:rsidR="005B5BE5">
        <w:rPr>
          <w:lang w:val="en-US"/>
        </w:rPr>
        <w:t>the VICI Issuers</w:t>
      </w:r>
      <w:r w:rsidRPr="005B5BE5" w:rsidR="00A70177">
        <w:rPr>
          <w:lang w:val="en-US"/>
        </w:rPr>
        <w:t>.</w:t>
      </w:r>
      <w:proofErr w:type="gramEnd"/>
      <w:r w:rsidRPr="005B5BE5" w:rsidR="00A70177">
        <w:rPr>
          <w:lang w:val="en-US"/>
        </w:rPr>
        <w:t xml:space="preserve">  </w:t>
      </w:r>
      <w:r w:rsidR="00101876">
        <w:rPr>
          <w:lang w:val="en-US"/>
        </w:rPr>
        <w:t xml:space="preserve">As described in Section 1 above, more than 95% of the MGM LP Notes </w:t>
      </w:r>
      <w:proofErr w:type="gramStart"/>
      <w:r w:rsidR="00101876">
        <w:rPr>
          <w:lang w:val="en-US"/>
        </w:rPr>
        <w:t>were therefore succeeded</w:t>
      </w:r>
      <w:proofErr w:type="gramEnd"/>
      <w:r w:rsidR="00101876">
        <w:rPr>
          <w:lang w:val="en-US"/>
        </w:rPr>
        <w:t xml:space="preserve"> to by the VICI Issuers. </w:t>
      </w:r>
    </w:p>
    <w:p w:rsidRPr="00101876" w:rsidR="00C816CB" w:rsidP="00EF68A3" w:rsidRDefault="00101876">
      <w:pPr>
        <w:pStyle w:val="AOAltHead3"/>
        <w:rPr>
          <w:lang w:val="en-US"/>
        </w:rPr>
      </w:pPr>
      <w:proofErr w:type="gramStart"/>
      <w:r w:rsidRPr="00101876">
        <w:rPr>
          <w:lang w:val="en-US"/>
        </w:rPr>
        <w:t>Section 2.2(h) of the 2014 Definitions provides</w:t>
      </w:r>
      <w:r>
        <w:rPr>
          <w:lang w:val="en-US"/>
        </w:rPr>
        <w:t>, in relevant part,</w:t>
      </w:r>
      <w:r w:rsidRPr="00101876">
        <w:rPr>
          <w:lang w:val="en-US"/>
        </w:rPr>
        <w:t xml:space="preserve"> that "[</w:t>
      </w:r>
      <w:proofErr w:type="spellStart"/>
      <w:r w:rsidRPr="00101876">
        <w:rPr>
          <w:lang w:val="en-US"/>
        </w:rPr>
        <w:t>i</w:t>
      </w:r>
      <w:proofErr w:type="spellEnd"/>
      <w:r w:rsidRPr="00101876">
        <w:rPr>
          <w:lang w:val="en-US"/>
        </w:rPr>
        <w:t>]f two or more entities (each, a "Joint Potential Successor") jointly succeed to a Relevant Obligation (the "Joint Relevant Obligation") either directly or as a provider of a Relevant Guarantee, then (</w:t>
      </w:r>
      <w:proofErr w:type="spellStart"/>
      <w:r w:rsidRPr="00101876">
        <w:rPr>
          <w:lang w:val="en-US"/>
        </w:rPr>
        <w:t>i</w:t>
      </w:r>
      <w:proofErr w:type="spellEnd"/>
      <w:r w:rsidRPr="00101876">
        <w:rPr>
          <w:lang w:val="en-US"/>
        </w:rPr>
        <w:t>) if the Joint Relevant Obligation was a direct obligation of the Reference Entity, it shall be treated as having been succeeded to by the Joint Potential Successor (</w:t>
      </w:r>
      <w:r w:rsidRPr="00101876">
        <w:rPr>
          <w:b/>
          <w:i/>
          <w:lang w:val="en-US"/>
        </w:rPr>
        <w:t>or Joint Potential Successors, in equal parts</w:t>
      </w:r>
      <w:r w:rsidRPr="00101876">
        <w:rPr>
          <w:lang w:val="en-US"/>
        </w:rPr>
        <w:t>) which succeeded to such Joint Relevant Obligation as direct obligor or obligors</w:t>
      </w:r>
      <w:r>
        <w:rPr>
          <w:lang w:val="en-US"/>
        </w:rPr>
        <w:t>" (emphasis added).</w:t>
      </w:r>
      <w:proofErr w:type="gramEnd"/>
      <w:r>
        <w:rPr>
          <w:lang w:val="en-US"/>
        </w:rPr>
        <w:t xml:space="preserve">  Because the MGM LP Notes were direct obligations of MGM LP, and because the VICI Issuers are co-issuers with respect to the new VICI notes and therefore "direct obligors" in respect of such new VICI notes, the Americas DC determined that each VICI Issuer </w:t>
      </w:r>
      <w:proofErr w:type="gramStart"/>
      <w:r>
        <w:rPr>
          <w:lang w:val="en-US"/>
        </w:rPr>
        <w:t>should be considered</w:t>
      </w:r>
      <w:proofErr w:type="gramEnd"/>
      <w:r>
        <w:rPr>
          <w:lang w:val="en-US"/>
        </w:rPr>
        <w:t xml:space="preserve"> to have succeeded to the exchanged MGM LP Notes "in equal part".</w:t>
      </w:r>
    </w:p>
    <w:p w:rsidRPr="005D126C" w:rsidR="00B72476" w:rsidP="005D126C" w:rsidRDefault="00101876">
      <w:pPr>
        <w:pStyle w:val="AOAltHead3"/>
        <w:rPr>
          <w:lang w:val="en-US"/>
        </w:rPr>
      </w:pPr>
      <w:r>
        <w:rPr>
          <w:lang w:val="en-US"/>
        </w:rPr>
        <w:t>Given the above, the</w:t>
      </w:r>
      <w:r w:rsidR="00CA0BBB">
        <w:rPr>
          <w:lang w:val="en-US"/>
        </w:rPr>
        <w:t xml:space="preserve"> </w:t>
      </w:r>
      <w:r w:rsidR="006958B8">
        <w:rPr>
          <w:lang w:val="en-US"/>
        </w:rPr>
        <w:t>Americas DC</w:t>
      </w:r>
      <w:r w:rsidR="006C3F79">
        <w:rPr>
          <w:lang w:val="en-US"/>
        </w:rPr>
        <w:t xml:space="preserve"> </w:t>
      </w:r>
      <w:r w:rsidR="006958B8">
        <w:rPr>
          <w:lang w:val="en-US"/>
        </w:rPr>
        <w:t xml:space="preserve">determined that </w:t>
      </w:r>
      <w:r w:rsidR="00A4331F">
        <w:rPr>
          <w:lang w:val="en-US"/>
        </w:rPr>
        <w:t>(</w:t>
      </w:r>
      <w:proofErr w:type="spellStart"/>
      <w:r w:rsidR="00A4331F">
        <w:rPr>
          <w:lang w:val="en-US"/>
        </w:rPr>
        <w:t>i</w:t>
      </w:r>
      <w:proofErr w:type="spellEnd"/>
      <w:r w:rsidR="00A4331F">
        <w:rPr>
          <w:lang w:val="en-US"/>
        </w:rPr>
        <w:t xml:space="preserve">) </w:t>
      </w:r>
      <w:r w:rsidR="005B5BE5">
        <w:rPr>
          <w:lang w:val="en-US"/>
        </w:rPr>
        <w:t>each VICI Issuer</w:t>
      </w:r>
      <w:r w:rsidR="00A4331F">
        <w:rPr>
          <w:lang w:val="en-US"/>
        </w:rPr>
        <w:t xml:space="preserve"> had succeeded to more than 25% of the Relevant Obligations of </w:t>
      </w:r>
      <w:r w:rsidR="005B5BE5">
        <w:rPr>
          <w:lang w:val="en-US"/>
        </w:rPr>
        <w:t>MGM LP</w:t>
      </w:r>
      <w:r w:rsidR="00CA0BBB">
        <w:rPr>
          <w:lang w:val="en-US"/>
        </w:rPr>
        <w:t xml:space="preserve">, </w:t>
      </w:r>
      <w:r w:rsidR="00A4331F">
        <w:rPr>
          <w:lang w:val="en-US"/>
        </w:rPr>
        <w:t xml:space="preserve">(ii) </w:t>
      </w:r>
      <w:r w:rsidR="005B5BE5">
        <w:rPr>
          <w:lang w:val="en-US"/>
        </w:rPr>
        <w:t>less</w:t>
      </w:r>
      <w:r w:rsidR="00A4331F">
        <w:rPr>
          <w:lang w:val="en-US"/>
        </w:rPr>
        <w:t xml:space="preserve"> than 25% of the Relevant Obligations of </w:t>
      </w:r>
      <w:r w:rsidR="005B5BE5">
        <w:rPr>
          <w:lang w:val="en-US"/>
        </w:rPr>
        <w:t xml:space="preserve">MGM LP </w:t>
      </w:r>
      <w:r w:rsidR="00A4331F">
        <w:rPr>
          <w:lang w:val="en-US"/>
        </w:rPr>
        <w:t xml:space="preserve">remained with </w:t>
      </w:r>
      <w:r w:rsidR="005B5BE5">
        <w:rPr>
          <w:lang w:val="en-US"/>
        </w:rPr>
        <w:t>MGM LP</w:t>
      </w:r>
      <w:r w:rsidR="00A4331F">
        <w:rPr>
          <w:lang w:val="en-US"/>
        </w:rPr>
        <w:t xml:space="preserve">, and </w:t>
      </w:r>
      <w:r w:rsidR="00CA0BBB">
        <w:rPr>
          <w:lang w:val="en-US"/>
        </w:rPr>
        <w:t xml:space="preserve">(iii) therefore </w:t>
      </w:r>
      <w:r w:rsidR="00A4331F">
        <w:rPr>
          <w:lang w:val="en-US"/>
        </w:rPr>
        <w:t>Section 2.2(a)(i</w:t>
      </w:r>
      <w:r w:rsidR="005B5BE5">
        <w:rPr>
          <w:lang w:val="en-US"/>
        </w:rPr>
        <w:t>ii</w:t>
      </w:r>
      <w:r w:rsidR="00A4331F">
        <w:rPr>
          <w:lang w:val="en-US"/>
        </w:rPr>
        <w:t xml:space="preserve">) of the 2014 Definitions applied.  As a result, each of </w:t>
      </w:r>
      <w:r w:rsidR="005B5BE5">
        <w:rPr>
          <w:lang w:val="en-US"/>
        </w:rPr>
        <w:t>the VICI Issuers</w:t>
      </w:r>
      <w:r w:rsidR="00A4331F">
        <w:rPr>
          <w:lang w:val="en-US"/>
        </w:rPr>
        <w:t xml:space="preserve"> were determined to be Successors, and the provisions of Section 2.2(n) of the </w:t>
      </w:r>
      <w:r w:rsidR="00A4331F">
        <w:rPr>
          <w:lang w:val="en-US"/>
        </w:rPr>
        <w:lastRenderedPageBreak/>
        <w:t>2014 Definitions</w:t>
      </w:r>
      <w:bookmarkStart w:name="_Ref34295809" w:id="0"/>
      <w:r w:rsidR="00A4331F">
        <w:rPr>
          <w:rStyle w:val="FootnoteReference"/>
          <w:lang w:val="en-US"/>
        </w:rPr>
        <w:footnoteReference w:id="15"/>
      </w:r>
      <w:bookmarkEnd w:id="0"/>
      <w:r w:rsidR="00A4331F">
        <w:rPr>
          <w:lang w:val="en-US"/>
        </w:rPr>
        <w:t xml:space="preserve"> </w:t>
      </w:r>
      <w:r w:rsidR="00CA0BBB">
        <w:rPr>
          <w:lang w:val="en-US"/>
        </w:rPr>
        <w:t xml:space="preserve">applied </w:t>
      </w:r>
      <w:r w:rsidR="00A4331F">
        <w:rPr>
          <w:lang w:val="en-US"/>
        </w:rPr>
        <w:t xml:space="preserve">to outstanding Credit Derivative Transactions that specified </w:t>
      </w:r>
      <w:r w:rsidR="005B5BE5">
        <w:rPr>
          <w:lang w:val="en-US"/>
        </w:rPr>
        <w:t xml:space="preserve">MGM LP </w:t>
      </w:r>
      <w:r w:rsidR="00A4331F">
        <w:rPr>
          <w:lang w:val="en-US"/>
        </w:rPr>
        <w:t>as the Reference Entity.</w:t>
      </w:r>
    </w:p>
    <w:sectPr w:rsidRPr="005D126C" w:rsidR="00B72476" w:rsidSect="00C265FD">
      <w:headerReference w:type="even" r:id="rId11"/>
      <w:headerReference w:type="default" r:id="rId12"/>
      <w:footerReference w:type="even" r:id="rId13"/>
      <w:footerReference w:type="default" r:id="rId14"/>
      <w:headerReference w:type="first" r:id="rId15"/>
      <w:footerReference w:type="first" r:id="rId16"/>
      <w:pgSz w:w="12240" w:h="15840" w:code="9"/>
      <w:pgMar w:top="1588" w:right="1134" w:bottom="1021" w:left="1134" w:header="851"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Pr="003E4C00" w:rsidR="00041259" w:rsidP="0096492B" w:rsidRDefault="00041259">
      <w:r w:rsidRPr="003E4C00">
        <w:separator/>
      </w:r>
    </w:p>
  </w:endnote>
  <w:endnote w:type="continuationSeparator" w:id="0">
    <w:p w:rsidRPr="003E4C00" w:rsidR="00041259" w:rsidP="0096492B" w:rsidRDefault="00041259">
      <w:r w:rsidRPr="003E4C0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Bold">
    <w:altName w:val="Times New Roman"/>
    <w:panose1 w:val="020208030705050203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EF7" w:rsidRDefault="00A01E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OHdrFtrTblStyle"/>
      <w:tblW w:w="5000" w:type="pct"/>
      <w:tblLook w:val="04A0" w:firstRow="1" w:lastRow="0" w:firstColumn="1" w:lastColumn="0" w:noHBand="0" w:noVBand="1"/>
    </w:tblPr>
    <w:tblGrid>
      <w:gridCol w:w="3320"/>
      <w:gridCol w:w="3325"/>
      <w:gridCol w:w="3327"/>
    </w:tblGrid>
    <w:tr w:rsidR="00C265FD" w:rsidTr="003F7B8B">
      <w:tc>
        <w:tcPr>
          <w:tcW w:w="5000" w:type="pct"/>
          <w:gridSpan w:val="3"/>
        </w:tcPr>
        <w:bookmarkStart w:name="bmkFooterPrimaryDoc" w:id="2"/>
        <w:p w:rsidR="00C265FD" w:rsidP="00D239D7" w:rsidRDefault="00C265FD">
          <w:pPr>
            <w:pStyle w:val="AONormal8LBold"/>
          </w:pPr>
          <w:r>
            <w:fldChar w:fldCharType="begin"/>
          </w:r>
          <w:r>
            <w:instrText xml:space="preserve"> DOCPROPERTY cpFooterText </w:instrText>
          </w:r>
          <w:r>
            <w:fldChar w:fldCharType="separate"/>
          </w:r>
          <w:r w:rsidR="00712650">
            <w:t xml:space="preserve"> </w:t>
          </w:r>
          <w:r>
            <w:fldChar w:fldCharType="end"/>
          </w:r>
        </w:p>
      </w:tc>
    </w:tr>
    <w:tr w:rsidR="00C265FD" w:rsidTr="003F7B8B">
      <w:tc>
        <w:tcPr>
          <w:tcW w:w="1665" w:type="pct"/>
        </w:tcPr>
        <w:p w:rsidR="00C265FD" w:rsidP="00D239D7" w:rsidRDefault="00C265FD">
          <w:pPr>
            <w:pStyle w:val="AONormal8L"/>
          </w:pPr>
        </w:p>
      </w:tc>
      <w:tc>
        <w:tcPr>
          <w:tcW w:w="1667" w:type="pct"/>
        </w:tcPr>
        <w:p w:rsidR="00C265FD" w:rsidP="00D239D7" w:rsidRDefault="00C265FD">
          <w:pPr>
            <w:pStyle w:val="AONormal8C"/>
          </w:pPr>
          <w:r>
            <w:fldChar w:fldCharType="begin"/>
          </w:r>
          <w:r>
            <w:instrText xml:space="preserve"> PAGE  \* Arabic  \* MERGEFORMAT </w:instrText>
          </w:r>
          <w:r>
            <w:fldChar w:fldCharType="separate"/>
          </w:r>
          <w:r w:rsidR="00A01EF7">
            <w:rPr>
              <w:noProof/>
            </w:rPr>
            <w:t>3</w:t>
          </w:r>
          <w:r>
            <w:fldChar w:fldCharType="end"/>
          </w:r>
        </w:p>
      </w:tc>
      <w:tc>
        <w:tcPr>
          <w:tcW w:w="1667" w:type="pct"/>
        </w:tcPr>
        <w:p w:rsidR="00C265FD" w:rsidP="00D239D7" w:rsidRDefault="00C265FD">
          <w:pPr>
            <w:pStyle w:val="AONormal8R"/>
          </w:pPr>
        </w:p>
      </w:tc>
    </w:tr>
    <w:bookmarkEnd w:id="2"/>
  </w:tbl>
  <w:p w:rsidRPr="00C265FD" w:rsidR="00041259" w:rsidP="00C265FD" w:rsidRDefault="00041259">
    <w:pPr>
      <w:pStyle w:val="AONormal8L"/>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C265FD" w:rsidR="00D6029F" w:rsidP="00C265FD" w:rsidRDefault="00D6029F">
    <w:pPr>
      <w:pStyle w:val="AONormal8L"/>
    </w:pPr>
    <w:bookmarkStart w:name="_GoBack" w:id="5"/>
    <w:bookmarkEnd w:id="5"/>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Pr="003E4C00" w:rsidR="00041259" w:rsidP="0096492B" w:rsidRDefault="00041259">
      <w:r w:rsidRPr="003E4C00">
        <w:separator/>
      </w:r>
    </w:p>
  </w:footnote>
  <w:footnote w:type="continuationSeparator" w:id="0">
    <w:p w:rsidRPr="003E4C00" w:rsidR="00041259" w:rsidP="0096492B" w:rsidRDefault="00041259">
      <w:r w:rsidRPr="003E4C00">
        <w:continuationSeparator/>
      </w:r>
    </w:p>
  </w:footnote>
  <w:footnote w:id="1">
    <w:p w:rsidRPr="004F3827" w:rsidR="00041259" w:rsidP="00BC5FE1" w:rsidRDefault="00041259">
      <w:pPr>
        <w:pStyle w:val="FootnoteText"/>
        <w:rPr>
          <w:lang w:val="en-US"/>
        </w:rPr>
      </w:pPr>
      <w:r>
        <w:rPr>
          <w:rStyle w:val="FootnoteReference"/>
        </w:rPr>
        <w:footnoteRef/>
      </w:r>
      <w:r>
        <w:t xml:space="preserve"> </w:t>
      </w:r>
      <w:r>
        <w:rPr>
          <w:lang w:val="en-US"/>
        </w:rPr>
        <w:tab/>
        <w:t>Each capitalized term</w:t>
      </w:r>
      <w:r w:rsidRPr="004F3827">
        <w:rPr>
          <w:lang w:val="en-US"/>
        </w:rPr>
        <w:t xml:space="preserve"> used but not defined in this</w:t>
      </w:r>
      <w:r>
        <w:rPr>
          <w:lang w:val="en-US"/>
        </w:rPr>
        <w:t xml:space="preserve"> S</w:t>
      </w:r>
      <w:r w:rsidRPr="004F3827">
        <w:rPr>
          <w:lang w:val="en-US"/>
        </w:rPr>
        <w:t xml:space="preserve">tatement shall have the meaning given to </w:t>
      </w:r>
      <w:r>
        <w:rPr>
          <w:lang w:val="en-US"/>
        </w:rPr>
        <w:t>it</w:t>
      </w:r>
      <w:r w:rsidRPr="004F3827">
        <w:rPr>
          <w:lang w:val="en-US"/>
        </w:rPr>
        <w:t xml:space="preserve"> in </w:t>
      </w:r>
      <w:r>
        <w:rPr>
          <w:lang w:val="en-US"/>
        </w:rPr>
        <w:t xml:space="preserve">(a) </w:t>
      </w:r>
      <w:r w:rsidRPr="004F3827">
        <w:rPr>
          <w:lang w:val="en-US"/>
        </w:rPr>
        <w:t xml:space="preserve">the </w:t>
      </w:r>
      <w:r>
        <w:rPr>
          <w:lang w:val="en-US"/>
        </w:rPr>
        <w:t>DC Rules or (b) the 2014 Definitions, as applicable.</w:t>
      </w:r>
    </w:p>
  </w:footnote>
  <w:footnote w:id="2">
    <w:p w:rsidRPr="00AD217A" w:rsidR="00AD217A" w:rsidRDefault="00AD217A">
      <w:pPr>
        <w:pStyle w:val="FootnoteText"/>
      </w:pPr>
      <w:r>
        <w:rPr>
          <w:rStyle w:val="FootnoteReference"/>
        </w:rPr>
        <w:footnoteRef/>
      </w:r>
      <w:r>
        <w:t xml:space="preserve"> </w:t>
      </w:r>
      <w:r>
        <w:tab/>
      </w:r>
      <w:r w:rsidRPr="00AD217A">
        <w:rPr>
          <w:i/>
        </w:rPr>
        <w:t>See</w:t>
      </w:r>
      <w:r>
        <w:t xml:space="preserve"> Section 2.1(b) of the Transaction Agreement, available as Ex. 2.1 of the SEC Form 8-K filed by MGM LP on April 29, 2022, available </w:t>
      </w:r>
      <w:hyperlink w:history="1" r:id="rId1">
        <w:r>
          <w:rPr>
            <w:rStyle w:val="Hyperlink"/>
          </w:rPr>
          <w:t>here</w:t>
        </w:r>
      </w:hyperlink>
      <w:r>
        <w:t>.</w:t>
      </w:r>
    </w:p>
  </w:footnote>
  <w:footnote w:id="3">
    <w:p w:rsidRPr="00A96E7D" w:rsidR="00A96E7D" w:rsidRDefault="00A96E7D">
      <w:pPr>
        <w:pStyle w:val="FootnoteText"/>
      </w:pPr>
      <w:r>
        <w:rPr>
          <w:rStyle w:val="FootnoteReference"/>
        </w:rPr>
        <w:footnoteRef/>
      </w:r>
      <w:r>
        <w:t xml:space="preserve"> </w:t>
      </w:r>
      <w:r>
        <w:tab/>
        <w:t xml:space="preserve">MGM LP changed its name to VICI Properties 2 L.P. after the Partnership Merger.  </w:t>
      </w:r>
      <w:r w:rsidRPr="00AD217A">
        <w:rPr>
          <w:i/>
        </w:rPr>
        <w:t>See</w:t>
      </w:r>
      <w:r>
        <w:t xml:space="preserve"> SEC Form 8-K filed by VICI LP on April 29, 2022, available </w:t>
      </w:r>
      <w:hyperlink w:history="1" r:id="rId2">
        <w:r>
          <w:rPr>
            <w:rStyle w:val="Hyperlink"/>
          </w:rPr>
          <w:t>here</w:t>
        </w:r>
      </w:hyperlink>
      <w:r w:rsidR="00AD217A">
        <w:t>, at "Introductory Note".</w:t>
      </w:r>
      <w:r>
        <w:t xml:space="preserve"> For simplicity, this DC Statement refers to the original Reference Entity as </w:t>
      </w:r>
      <w:r w:rsidR="00AD217A">
        <w:t>"</w:t>
      </w:r>
      <w:r>
        <w:t>MGM LP</w:t>
      </w:r>
      <w:r w:rsidR="00AD217A">
        <w:t>"</w:t>
      </w:r>
      <w:r>
        <w:t xml:space="preserve"> notwithstanding this name change.  </w:t>
      </w:r>
      <w:r w:rsidR="00A0341D">
        <w:t xml:space="preserve">For a description of the Partnership Merger, see Section 2.1(c) of the Transaction Agreement, available as Ex. 2.1 of the SEC Form 8-K filed by MGM LP on April 29, 2022, available </w:t>
      </w:r>
      <w:hyperlink w:history="1" r:id="rId3">
        <w:r w:rsidR="00A0341D">
          <w:rPr>
            <w:rStyle w:val="Hyperlink"/>
          </w:rPr>
          <w:t>here</w:t>
        </w:r>
      </w:hyperlink>
      <w:r w:rsidR="00A0341D">
        <w:t>.</w:t>
      </w:r>
    </w:p>
  </w:footnote>
  <w:footnote w:id="4">
    <w:p w:rsidRPr="00A17D23" w:rsidR="00041259" w:rsidRDefault="00041259">
      <w:pPr>
        <w:pStyle w:val="FootnoteText"/>
      </w:pPr>
      <w:r>
        <w:rPr>
          <w:rStyle w:val="FootnoteReference"/>
        </w:rPr>
        <w:footnoteRef/>
      </w:r>
      <w:r>
        <w:t xml:space="preserve"> </w:t>
      </w:r>
      <w:r>
        <w:tab/>
      </w:r>
      <w:r w:rsidRPr="00AD217A">
        <w:rPr>
          <w:i/>
        </w:rPr>
        <w:t>See</w:t>
      </w:r>
      <w:r>
        <w:t xml:space="preserve"> Section 8.24 of the Transaction Agreement, available as Ex. 2.1 of the SEC Form 8-K filed by MGM LP on April 29, 2022, available </w:t>
      </w:r>
      <w:hyperlink w:history="1" r:id="rId4">
        <w:r>
          <w:rPr>
            <w:rStyle w:val="Hyperlink"/>
          </w:rPr>
          <w:t>here</w:t>
        </w:r>
      </w:hyperlink>
      <w:r>
        <w:t xml:space="preserve">. </w:t>
      </w:r>
    </w:p>
  </w:footnote>
  <w:footnote w:id="5">
    <w:p w:rsidRPr="00623179" w:rsidR="00041259" w:rsidRDefault="00041259">
      <w:pPr>
        <w:pStyle w:val="FootnoteText"/>
      </w:pPr>
      <w:r>
        <w:rPr>
          <w:rStyle w:val="FootnoteReference"/>
        </w:rPr>
        <w:footnoteRef/>
      </w:r>
      <w:r>
        <w:t xml:space="preserve"> </w:t>
      </w:r>
      <w:r>
        <w:tab/>
      </w:r>
      <w:r w:rsidRPr="00AD217A">
        <w:rPr>
          <w:i/>
        </w:rPr>
        <w:t>See</w:t>
      </w:r>
      <w:r>
        <w:t xml:space="preserve"> VICI press release (</w:t>
      </w:r>
      <w:r w:rsidR="00AD217A">
        <w:t>"</w:t>
      </w:r>
      <w:r>
        <w:t>VICI Properties Inc. Announces Extension of Exchange Offers</w:t>
      </w:r>
      <w:r w:rsidR="00AD217A">
        <w:t>"</w:t>
      </w:r>
      <w:r>
        <w:t xml:space="preserve">), dated April 14, 2022, available </w:t>
      </w:r>
      <w:hyperlink w:history="1" r:id="rId5">
        <w:r>
          <w:rPr>
            <w:rStyle w:val="Hyperlink"/>
          </w:rPr>
          <w:t>here</w:t>
        </w:r>
      </w:hyperlink>
      <w:r>
        <w:t>.</w:t>
      </w:r>
    </w:p>
  </w:footnote>
  <w:footnote w:id="6">
    <w:p w:rsidRPr="00A0341D" w:rsidR="00A0341D" w:rsidRDefault="00A0341D">
      <w:pPr>
        <w:pStyle w:val="FootnoteText"/>
      </w:pPr>
      <w:r>
        <w:rPr>
          <w:rStyle w:val="FootnoteReference"/>
        </w:rPr>
        <w:footnoteRef/>
      </w:r>
      <w:r>
        <w:t xml:space="preserve"> </w:t>
      </w:r>
      <w:r>
        <w:tab/>
      </w:r>
      <w:r w:rsidRPr="00A0341D">
        <w:rPr>
          <w:i/>
        </w:rPr>
        <w:t>Id</w:t>
      </w:r>
      <w:r>
        <w:t>.</w:t>
      </w:r>
    </w:p>
  </w:footnote>
  <w:footnote w:id="7">
    <w:p w:rsidRPr="00623179" w:rsidR="00041259" w:rsidRDefault="00041259">
      <w:pPr>
        <w:pStyle w:val="FootnoteText"/>
      </w:pPr>
      <w:r>
        <w:rPr>
          <w:rStyle w:val="FootnoteReference"/>
        </w:rPr>
        <w:footnoteRef/>
      </w:r>
      <w:r>
        <w:t xml:space="preserve"> </w:t>
      </w:r>
      <w:r>
        <w:tab/>
      </w:r>
      <w:r w:rsidRPr="00A0341D" w:rsidR="00A0341D">
        <w:rPr>
          <w:i/>
        </w:rPr>
        <w:t>Id</w:t>
      </w:r>
      <w:r w:rsidR="00A0341D">
        <w:t>.</w:t>
      </w:r>
      <w:r>
        <w:t xml:space="preserve"> </w:t>
      </w:r>
    </w:p>
  </w:footnote>
  <w:footnote w:id="8">
    <w:p w:rsidRPr="00A0341D" w:rsidR="00A0341D" w:rsidRDefault="00A0341D">
      <w:pPr>
        <w:pStyle w:val="FootnoteText"/>
      </w:pPr>
      <w:r>
        <w:rPr>
          <w:rStyle w:val="FootnoteReference"/>
        </w:rPr>
        <w:footnoteRef/>
      </w:r>
      <w:r>
        <w:t xml:space="preserve"> </w:t>
      </w:r>
      <w:r>
        <w:tab/>
        <w:t xml:space="preserve">See April 28, 2022 Press Release, available as Exhibit 99.1 to the SEC Form 8-K filed by VICI LP on April 29, 2022, available </w:t>
      </w:r>
      <w:hyperlink w:history="1" r:id="rId6">
        <w:r>
          <w:rPr>
            <w:rStyle w:val="Hyperlink"/>
          </w:rPr>
          <w:t>here</w:t>
        </w:r>
      </w:hyperlink>
      <w:r>
        <w:t xml:space="preserve">. </w:t>
      </w:r>
    </w:p>
  </w:footnote>
  <w:footnote w:id="9">
    <w:p w:rsidRPr="00623179" w:rsidR="00041259" w:rsidRDefault="00041259">
      <w:pPr>
        <w:pStyle w:val="FootnoteText"/>
      </w:pPr>
      <w:r>
        <w:rPr>
          <w:rStyle w:val="FootnoteReference"/>
        </w:rPr>
        <w:footnoteRef/>
      </w:r>
      <w:r>
        <w:t xml:space="preserve"> </w:t>
      </w:r>
      <w:r>
        <w:tab/>
      </w:r>
      <w:r w:rsidRPr="00AD217A" w:rsidR="00A96E7D">
        <w:rPr>
          <w:i/>
        </w:rPr>
        <w:t>See</w:t>
      </w:r>
      <w:r w:rsidR="00A96E7D">
        <w:t xml:space="preserve"> SEC Form 8-K filed by VICI LP on April 29, 2022, available </w:t>
      </w:r>
      <w:hyperlink w:history="1" r:id="rId7">
        <w:r w:rsidR="00A96E7D">
          <w:rPr>
            <w:rStyle w:val="Hyperlink"/>
          </w:rPr>
          <w:t>here</w:t>
        </w:r>
      </w:hyperlink>
      <w:r w:rsidR="00A96E7D">
        <w:t xml:space="preserve"> (</w:t>
      </w:r>
      <w:r w:rsidR="00AD217A">
        <w:t>"</w:t>
      </w:r>
      <w:r w:rsidRPr="00A96E7D" w:rsidR="00A96E7D">
        <w:t xml:space="preserve">On April 29, 2022, </w:t>
      </w:r>
      <w:r w:rsidR="00A96E7D">
        <w:t>[the VICI Issuers]</w:t>
      </w:r>
      <w:r w:rsidRPr="00A96E7D" w:rsidR="00A96E7D">
        <w:t xml:space="preserve"> completed their previously announced private exchange offers to certain eligible holders (collectively, the </w:t>
      </w:r>
      <w:r w:rsidR="00AD217A">
        <w:t>"</w:t>
      </w:r>
      <w:r w:rsidRPr="00A96E7D" w:rsidR="00A96E7D">
        <w:t>Exchange Offers</w:t>
      </w:r>
      <w:r w:rsidR="00AD217A">
        <w:t>"</w:t>
      </w:r>
      <w:r w:rsidRPr="00A96E7D" w:rsidR="00A96E7D">
        <w:t>) for any and all outstanding</w:t>
      </w:r>
      <w:r w:rsidR="00A96E7D">
        <w:t xml:space="preserve"> [MGM LP Notes]</w:t>
      </w:r>
      <w:r w:rsidR="00AD217A">
        <w:t>"</w:t>
      </w:r>
      <w:r w:rsidR="00A96E7D">
        <w:t xml:space="preserve">). </w:t>
      </w:r>
      <w:r>
        <w:t xml:space="preserve">Note that the issuance date </w:t>
      </w:r>
      <w:r w:rsidR="00A96E7D">
        <w:t xml:space="preserve">(April 29, 2022) </w:t>
      </w:r>
      <w:r>
        <w:t xml:space="preserve">of the new VICI Notes </w:t>
      </w:r>
      <w:proofErr w:type="gramStart"/>
      <w:r>
        <w:t xml:space="preserve">was </w:t>
      </w:r>
      <w:r w:rsidR="00A96E7D">
        <w:t xml:space="preserve">also </w:t>
      </w:r>
      <w:r>
        <w:t>confirmed</w:t>
      </w:r>
      <w:proofErr w:type="gramEnd"/>
      <w:r>
        <w:t xml:space="preserve"> with VICI LP Investor Relations.</w:t>
      </w:r>
    </w:p>
  </w:footnote>
  <w:footnote w:id="10">
    <w:p w:rsidRPr="00CA4703" w:rsidR="00041259" w:rsidRDefault="00041259">
      <w:pPr>
        <w:pStyle w:val="FootnoteText"/>
      </w:pPr>
      <w:r>
        <w:rPr>
          <w:rStyle w:val="FootnoteReference"/>
        </w:rPr>
        <w:footnoteRef/>
      </w:r>
      <w:r>
        <w:t xml:space="preserve"> </w:t>
      </w:r>
      <w:r>
        <w:tab/>
        <w:t xml:space="preserve">MGM LP was a party to a credit agreement dated as of April 25, 2016 (the </w:t>
      </w:r>
      <w:r>
        <w:rPr>
          <w:b/>
        </w:rPr>
        <w:t>Credit Agreement</w:t>
      </w:r>
      <w:r>
        <w:t>), with USD</w:t>
      </w:r>
      <w:r w:rsidR="000873C5">
        <w:t xml:space="preserve"> </w:t>
      </w:r>
      <w:r>
        <w:t>90 million in outstanding borrowings that were repaid on April 29, 2022 (</w:t>
      </w:r>
      <w:r w:rsidRPr="00AD217A">
        <w:rPr>
          <w:i/>
        </w:rPr>
        <w:t>i.e.</w:t>
      </w:r>
      <w:r>
        <w:t xml:space="preserve">, the closing date of the Mergers and the settlement date of the Exchange), with the </w:t>
      </w:r>
      <w:r w:rsidR="00A0341D">
        <w:t>C</w:t>
      </w:r>
      <w:r>
        <w:t xml:space="preserve">redit </w:t>
      </w:r>
      <w:r w:rsidR="00A0341D">
        <w:t>A</w:t>
      </w:r>
      <w:r>
        <w:t xml:space="preserve">greement terminated on the same date.  See the Form 8-K filed by MGM LP on April 29, 2022, available </w:t>
      </w:r>
      <w:hyperlink w:history="1" r:id="rId8">
        <w:r>
          <w:rPr>
            <w:rStyle w:val="Hyperlink"/>
          </w:rPr>
          <w:t>here</w:t>
        </w:r>
      </w:hyperlink>
      <w:r>
        <w:t xml:space="preserve">; see also the Form 8-K filed by MGM LP on February 18, 2020, available </w:t>
      </w:r>
      <w:hyperlink w:history="1" w:anchor="d850473dex105_htm" r:id="rId9">
        <w:r>
          <w:rPr>
            <w:rStyle w:val="Hyperlink"/>
          </w:rPr>
          <w:t>here</w:t>
        </w:r>
      </w:hyperlink>
      <w:r>
        <w:t xml:space="preserve"> (including the fifth amendment to the Credit Agreement and identifying MGM LP as </w:t>
      </w:r>
      <w:r w:rsidR="00AD217A">
        <w:t>"</w:t>
      </w:r>
      <w:r>
        <w:t>Borrower</w:t>
      </w:r>
      <w:r w:rsidR="00AD217A">
        <w:t>"</w:t>
      </w:r>
      <w:r>
        <w:t xml:space="preserve">). Note that even if such debt were </w:t>
      </w:r>
      <w:r w:rsidR="00A0341D">
        <w:t xml:space="preserve">considered </w:t>
      </w:r>
      <w:proofErr w:type="gramStart"/>
      <w:r w:rsidR="00A0341D">
        <w:t xml:space="preserve">to be </w:t>
      </w:r>
      <w:r>
        <w:t>outstanding</w:t>
      </w:r>
      <w:proofErr w:type="gramEnd"/>
      <w:r>
        <w:t xml:space="preserve"> immediately prior to April 29, 2022, the existence of this agreement would not alter the Successor determination below, given the amount of outstanding MGM note debt immediately prior to April 29, 2022. </w:t>
      </w:r>
    </w:p>
  </w:footnote>
  <w:footnote w:id="11">
    <w:p w:rsidRPr="00343937" w:rsidR="00041259" w:rsidP="00582318" w:rsidRDefault="00041259">
      <w:pPr>
        <w:pStyle w:val="FootnoteText"/>
        <w:rPr>
          <w:lang w:val="en-US"/>
        </w:rPr>
      </w:pPr>
      <w:r>
        <w:rPr>
          <w:rStyle w:val="FootnoteReference"/>
        </w:rPr>
        <w:footnoteRef/>
      </w:r>
      <w:r>
        <w:t xml:space="preserve"> </w:t>
      </w:r>
      <w:r>
        <w:rPr>
          <w:lang w:val="en-US"/>
        </w:rPr>
        <w:tab/>
      </w:r>
      <w:proofErr w:type="gramStart"/>
      <w:r w:rsidRPr="00AD217A">
        <w:rPr>
          <w:i/>
          <w:lang w:val="en-US"/>
        </w:rPr>
        <w:t>See</w:t>
      </w:r>
      <w:r>
        <w:rPr>
          <w:lang w:val="en-US"/>
        </w:rPr>
        <w:t xml:space="preserve"> Section 2.2(j) of the 2014 Definitions (describing the </w:t>
      </w:r>
      <w:r w:rsidR="00AD217A">
        <w:rPr>
          <w:lang w:val="en-US"/>
        </w:rPr>
        <w:t>"</w:t>
      </w:r>
      <w:r>
        <w:rPr>
          <w:lang w:val="en-US"/>
        </w:rPr>
        <w:t>Succession Date</w:t>
      </w:r>
      <w:r w:rsidR="00AD217A">
        <w:rPr>
          <w:lang w:val="en-US"/>
        </w:rPr>
        <w:t>"</w:t>
      </w:r>
      <w:r>
        <w:rPr>
          <w:lang w:val="en-US"/>
        </w:rPr>
        <w:t xml:space="preserve"> as </w:t>
      </w:r>
      <w:r w:rsidRPr="00343937">
        <w:rPr>
          <w:lang w:val="en-US"/>
        </w:rPr>
        <w:t xml:space="preserve">the </w:t>
      </w:r>
      <w:r w:rsidR="00AD217A">
        <w:rPr>
          <w:lang w:val="en-US"/>
        </w:rPr>
        <w:t>"</w:t>
      </w:r>
      <w:r w:rsidRPr="00343937">
        <w:rPr>
          <w:lang w:val="en-US"/>
        </w:rPr>
        <w:t>legally effective date of an event in which one or more entities succeed to some or all of the Relevant Obligations of the Reference Entity</w:t>
      </w:r>
      <w:r w:rsidR="00AD217A">
        <w:rPr>
          <w:lang w:val="en-US"/>
        </w:rPr>
        <w:t>"</w:t>
      </w:r>
      <w:r w:rsidRPr="00343937">
        <w:rPr>
          <w:lang w:val="en-US"/>
        </w:rPr>
        <w:t>)</w:t>
      </w:r>
      <w:r>
        <w:rPr>
          <w:lang w:val="en-US"/>
        </w:rPr>
        <w:t xml:space="preserve">; </w:t>
      </w:r>
      <w:r w:rsidRPr="00AD217A">
        <w:rPr>
          <w:i/>
          <w:lang w:val="en-US"/>
        </w:rPr>
        <w:t>see also</w:t>
      </w:r>
      <w:r>
        <w:rPr>
          <w:lang w:val="en-US"/>
        </w:rPr>
        <w:t xml:space="preserve"> Section 2.2(d) of the 2014 Definitions (defining succession as occurring when an entity other than the Reference Entity </w:t>
      </w:r>
      <w:r w:rsidR="00AD217A">
        <w:rPr>
          <w:lang w:val="en-US"/>
        </w:rPr>
        <w:t>"</w:t>
      </w:r>
      <w:r w:rsidRPr="00035EFB">
        <w:rPr>
          <w:b/>
          <w:i/>
          <w:lang w:val="en-US"/>
        </w:rPr>
        <w:t>issues</w:t>
      </w:r>
      <w:r>
        <w:rPr>
          <w:lang w:val="en-US"/>
        </w:rPr>
        <w:t xml:space="preserve"> Bonds or incurs Loans (the </w:t>
      </w:r>
      <w:r w:rsidR="00AD217A">
        <w:rPr>
          <w:lang w:val="en-US"/>
        </w:rPr>
        <w:t>"</w:t>
      </w:r>
      <w:r>
        <w:rPr>
          <w:lang w:val="en-US"/>
        </w:rPr>
        <w:t>Exchange Bonds or Loans</w:t>
      </w:r>
      <w:r w:rsidR="00AD217A">
        <w:rPr>
          <w:lang w:val="en-US"/>
        </w:rPr>
        <w:t>"</w:t>
      </w:r>
      <w:r>
        <w:rPr>
          <w:lang w:val="en-US"/>
        </w:rPr>
        <w:t>) that are exchanged for Relevant Obligations […]</w:t>
      </w:r>
      <w:r w:rsidR="00AD217A">
        <w:rPr>
          <w:lang w:val="en-US"/>
        </w:rPr>
        <w:t>"</w:t>
      </w:r>
      <w:r>
        <w:rPr>
          <w:lang w:val="en-US"/>
        </w:rPr>
        <w:t xml:space="preserve"> (emphasis added)).</w:t>
      </w:r>
      <w:proofErr w:type="gramEnd"/>
      <w:r>
        <w:rPr>
          <w:lang w:val="en-US"/>
        </w:rPr>
        <w:t xml:space="preserve">  The Americas DC has generally treated the settlement date of an exchange as the Succession Date for purposes of the 2014 Definitions.</w:t>
      </w:r>
    </w:p>
  </w:footnote>
  <w:footnote w:id="12">
    <w:p w:rsidRPr="00C85E33" w:rsidR="00041259" w:rsidP="00823B11" w:rsidRDefault="00041259">
      <w:pPr>
        <w:pStyle w:val="FootnoteText"/>
        <w:rPr>
          <w:szCs w:val="16"/>
          <w:lang w:val="en-US"/>
        </w:rPr>
      </w:pPr>
      <w:r w:rsidRPr="00C85E33">
        <w:rPr>
          <w:rStyle w:val="FootnoteReference"/>
          <w:szCs w:val="16"/>
        </w:rPr>
        <w:footnoteRef/>
      </w:r>
      <w:r w:rsidRPr="00C85E33">
        <w:rPr>
          <w:szCs w:val="16"/>
        </w:rPr>
        <w:t xml:space="preserve"> </w:t>
      </w:r>
      <w:r w:rsidRPr="00C85E33">
        <w:rPr>
          <w:szCs w:val="16"/>
          <w:lang w:val="en-US"/>
        </w:rPr>
        <w:tab/>
        <w:t>Section 2.2(d) of the 2014 Definitions.</w:t>
      </w:r>
    </w:p>
  </w:footnote>
  <w:footnote w:id="13">
    <w:p w:rsidRPr="00380A77" w:rsidR="00041259" w:rsidP="00823B11" w:rsidRDefault="00041259">
      <w:pPr>
        <w:pStyle w:val="FootnoteText"/>
        <w:rPr>
          <w:lang w:val="en-US"/>
        </w:rPr>
      </w:pPr>
      <w:r>
        <w:rPr>
          <w:rStyle w:val="FootnoteReference"/>
        </w:rPr>
        <w:footnoteRef/>
      </w:r>
      <w:r>
        <w:t xml:space="preserve"> </w:t>
      </w:r>
      <w:r>
        <w:rPr>
          <w:lang w:val="en-US"/>
        </w:rPr>
        <w:tab/>
        <w:t xml:space="preserve">Section 2.2(f) of the 2014 Definitions. </w:t>
      </w:r>
    </w:p>
  </w:footnote>
  <w:footnote w:id="14">
    <w:p w:rsidRPr="00733EED" w:rsidR="00041259" w:rsidP="002C40B5" w:rsidRDefault="00041259">
      <w:pPr>
        <w:pStyle w:val="FootnoteText"/>
        <w:rPr>
          <w:lang w:val="en-US"/>
        </w:rPr>
      </w:pPr>
      <w:r>
        <w:rPr>
          <w:rStyle w:val="FootnoteReference"/>
        </w:rPr>
        <w:footnoteRef/>
      </w:r>
      <w:r>
        <w:t xml:space="preserve"> </w:t>
      </w:r>
      <w:r>
        <w:rPr>
          <w:lang w:val="en-US"/>
        </w:rPr>
        <w:tab/>
        <w:t xml:space="preserve">Section 3.1(a) of the 2014 Definitions.  </w:t>
      </w:r>
    </w:p>
  </w:footnote>
  <w:footnote w:id="15">
    <w:p w:rsidRPr="00CF50AF" w:rsidR="00041259" w:rsidP="00A4331F" w:rsidRDefault="00041259">
      <w:pPr>
        <w:pStyle w:val="FootnoteText"/>
        <w:rPr>
          <w:lang w:val="en-US"/>
        </w:rPr>
      </w:pPr>
      <w:r>
        <w:rPr>
          <w:rStyle w:val="FootnoteReference"/>
        </w:rPr>
        <w:footnoteRef/>
      </w:r>
      <w:r>
        <w:t xml:space="preserve"> </w:t>
      </w:r>
      <w:r>
        <w:rPr>
          <w:lang w:val="en-US"/>
        </w:rPr>
        <w:tab/>
        <w:t xml:space="preserve">These provisions require, among other things, division of the existing Credit Derivative Transaction into multiple new Credit Derivative Transactions (in this case, one for </w:t>
      </w:r>
      <w:r w:rsidR="005B5BE5">
        <w:rPr>
          <w:lang w:val="en-US"/>
        </w:rPr>
        <w:t>each VICI Issuer</w:t>
      </w:r>
      <w:r>
        <w:rPr>
          <w:lang w:val="en-US"/>
        </w:rPr>
        <w:t>), with the Floating Rate Payer Calculation Amount (</w:t>
      </w:r>
      <w:r w:rsidRPr="00AD217A">
        <w:rPr>
          <w:i/>
          <w:lang w:val="en-US"/>
        </w:rPr>
        <w:t>i.e.</w:t>
      </w:r>
      <w:r>
        <w:rPr>
          <w:lang w:val="en-US"/>
        </w:rPr>
        <w:t>, the notional) of the existing Credit Derivative Transaction distributed equally among such new Credit Derivative Transactions.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EF7" w:rsidRDefault="00A01E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OHdrFtrTblStyle"/>
      <w:tblW w:w="5000" w:type="pct"/>
      <w:tblLayout w:type="fixed"/>
      <w:tblLook w:val="04A0" w:firstRow="1" w:lastRow="0" w:firstColumn="1" w:lastColumn="0" w:noHBand="0" w:noVBand="1"/>
    </w:tblPr>
    <w:tblGrid>
      <w:gridCol w:w="9972"/>
    </w:tblGrid>
    <w:tr w:rsidR="00C265FD" w:rsidTr="003F7B8B">
      <w:tc>
        <w:tcPr>
          <w:tcW w:w="5000" w:type="pct"/>
        </w:tcPr>
        <w:bookmarkStart w:name="bmkHeaderPrimaryDoc" w:id="1"/>
        <w:p w:rsidR="00C265FD" w:rsidP="00D239D7" w:rsidRDefault="00C265FD">
          <w:pPr>
            <w:pStyle w:val="AONormal8LBold"/>
          </w:pPr>
          <w:r>
            <w:fldChar w:fldCharType="begin"/>
          </w:r>
          <w:r>
            <w:instrText xml:space="preserve"> DOCPROPERTY "cpHeaderText" </w:instrText>
          </w:r>
          <w:r>
            <w:fldChar w:fldCharType="separate"/>
          </w:r>
          <w:r w:rsidR="00712650">
            <w:t xml:space="preserve"> </w:t>
          </w:r>
          <w:r>
            <w:fldChar w:fldCharType="end"/>
          </w:r>
        </w:p>
      </w:tc>
    </w:tr>
    <w:bookmarkEnd w:id="1"/>
  </w:tbl>
  <w:p w:rsidRPr="00C265FD" w:rsidR="00041259" w:rsidP="00C265FD" w:rsidRDefault="00041259">
    <w:pPr>
      <w:pStyle w:val="AONormal8L"/>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OHdrFtrTblStyle"/>
      <w:tblW w:w="5000" w:type="pct"/>
      <w:tblLayout w:type="fixed"/>
      <w:tblLook w:val="04A0" w:firstRow="1" w:lastRow="0" w:firstColumn="1" w:lastColumn="0" w:noHBand="0" w:noVBand="1"/>
    </w:tblPr>
    <w:tblGrid>
      <w:gridCol w:w="6532"/>
      <w:gridCol w:w="3440"/>
    </w:tblGrid>
    <w:tr w:rsidR="00C265FD" w:rsidTr="003F7B8B">
      <w:trPr>
        <w:trHeight w:val="1361" w:hRule="exact"/>
      </w:trPr>
      <w:tc>
        <w:tcPr>
          <w:tcW w:w="6311" w:type="dxa"/>
        </w:tcPr>
        <w:p w:rsidR="00C265FD" w:rsidP="003F7B8B" w:rsidRDefault="00C265FD">
          <w:pPr>
            <w:pStyle w:val="AONormal"/>
          </w:pPr>
          <w:bookmarkStart w:name="bmkOfficeLogoAlternative" w:id="3"/>
          <w:bookmarkEnd w:id="3"/>
        </w:p>
      </w:tc>
      <w:tc>
        <w:tcPr>
          <w:tcW w:w="3323" w:type="dxa"/>
        </w:tcPr>
        <w:p w:rsidR="00C265FD" w:rsidP="003F7B8B" w:rsidRDefault="00C265FD">
          <w:pPr>
            <w:pStyle w:val="AONormal"/>
          </w:pPr>
          <w:bookmarkStart w:name="bmkAOLogo" w:id="4"/>
          <w:bookmarkEnd w:id="4"/>
        </w:p>
      </w:tc>
    </w:tr>
  </w:tbl>
  <w:p w:rsidRPr="00C265FD" w:rsidR="00041259" w:rsidP="00C265FD" w:rsidRDefault="00041259">
    <w:pPr>
      <w:pStyle w:val="AONormal8L"/>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209E7"/>
    <w:multiLevelType w:val="multilevel"/>
    <w:tmpl w:val="37A6615E"/>
    <w:name w:val="AOApp"/>
    <w:lvl w:ilvl="0">
      <w:start w:val="1"/>
      <w:numFmt w:val="decimal"/>
      <w:lvlRestart w:val="0"/>
      <w:pStyle w:val="AOAppHead"/>
      <w:suff w:val="nothing"/>
      <w:lvlText w:val="Appendix %1"/>
      <w:lvlJc w:val="left"/>
      <w:pPr>
        <w:tabs>
          <w:tab w:val="num" w:pos="0"/>
        </w:tabs>
        <w:ind w:left="0" w:firstLine="0"/>
      </w:pPr>
      <w:rPr>
        <w:rFonts w:ascii="Times New Roman Bold" w:hAnsi="Times New Roman Bold"/>
      </w:rPr>
    </w:lvl>
    <w:lvl w:ilvl="1">
      <w:start w:val="1"/>
      <w:numFmt w:val="decimal"/>
      <w:pStyle w:val="AOAppPartHead"/>
      <w:suff w:val="nothing"/>
      <w:lvlText w:val="Part %2"/>
      <w:lvlJc w:val="left"/>
      <w:pPr>
        <w:tabs>
          <w:tab w:val="num" w:pos="0"/>
        </w:tabs>
        <w:ind w:left="0" w:firstLine="0"/>
      </w:pPr>
      <w:rPr>
        <w:rFonts w:ascii="Times New Roman Bold" w:hAnsi="Times New Roman Bold"/>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1" w15:restartNumberingAfterBreak="0">
    <w:nsid w:val="10F37ADE"/>
    <w:multiLevelType w:val="multilevel"/>
    <w:tmpl w:val="F6E0B662"/>
    <w:name w:val="AOListNumberList"/>
    <w:lvl w:ilvl="0">
      <w:start w:val="1"/>
      <w:numFmt w:val="decimal"/>
      <w:lvlRestart w:val="0"/>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 w15:restartNumberingAfterBreak="0">
    <w:nsid w:val="1B0661F6"/>
    <w:multiLevelType w:val="singleLevel"/>
    <w:tmpl w:val="F8EAD754"/>
    <w:name w:val="AOBullet2List"/>
    <w:lvl w:ilvl="0">
      <w:start w:val="1"/>
      <w:numFmt w:val="bullet"/>
      <w:lvlRestart w:val="0"/>
      <w:pStyle w:val="AOBullet2"/>
      <w:lvlText w:val=""/>
      <w:lvlJc w:val="left"/>
      <w:pPr>
        <w:tabs>
          <w:tab w:val="num" w:pos="720"/>
        </w:tabs>
        <w:ind w:left="720" w:hanging="720"/>
      </w:pPr>
      <w:rPr>
        <w:rFonts w:ascii="Symbol" w:hAnsi="Symbol" w:hint="default"/>
      </w:rPr>
    </w:lvl>
  </w:abstractNum>
  <w:abstractNum w:abstractNumId="3" w15:restartNumberingAfterBreak="0">
    <w:nsid w:val="31FA6DE9"/>
    <w:multiLevelType w:val="singleLevel"/>
    <w:tmpl w:val="5B8EDC8A"/>
    <w:name w:val="AOBulletList"/>
    <w:lvl w:ilvl="0">
      <w:start w:val="1"/>
      <w:numFmt w:val="bullet"/>
      <w:lvlRestart w:val="0"/>
      <w:pStyle w:val="AOBullet"/>
      <w:lvlText w:val=""/>
      <w:lvlJc w:val="left"/>
      <w:pPr>
        <w:tabs>
          <w:tab w:val="num" w:pos="720"/>
        </w:tabs>
        <w:ind w:left="720" w:hanging="720"/>
      </w:pPr>
      <w:rPr>
        <w:rFonts w:ascii="Symbol" w:hAnsi="Symbol" w:hint="default"/>
        <w:caps w:val="0"/>
      </w:rPr>
    </w:lvl>
  </w:abstractNum>
  <w:abstractNum w:abstractNumId="4" w15:restartNumberingAfterBreak="0">
    <w:nsid w:val="391D542D"/>
    <w:multiLevelType w:val="multilevel"/>
    <w:tmpl w:val="EF0AD4E2"/>
    <w:name w:val="AOTOC67"/>
    <w:lvl w:ilvl="0">
      <w:start w:val="1"/>
      <w:numFmt w:val="decimal"/>
      <w:lvlRestart w:val="0"/>
      <w:pStyle w:val="TOC6"/>
      <w:lvlText w:val="%1."/>
      <w:lvlJc w:val="left"/>
      <w:pPr>
        <w:tabs>
          <w:tab w:val="num" w:pos="720"/>
        </w:tabs>
        <w:ind w:left="720" w:hanging="720"/>
      </w:pPr>
      <w:rPr>
        <w:rFonts w:ascii="Times New Roman" w:hAnsi="Times New Roman" w:cs="Times New Roman"/>
      </w:rPr>
    </w:lvl>
    <w:lvl w:ilvl="1">
      <w:start w:val="1"/>
      <w:numFmt w:val="decimal"/>
      <w:pStyle w:val="TOC7"/>
      <w:lvlText w:val="Part %2"/>
      <w:lvlJc w:val="left"/>
      <w:pPr>
        <w:ind w:left="1797" w:hanging="1077"/>
      </w:pPr>
      <w:rPr>
        <w:rFonts w:ascii="Times New Roman" w:hAnsi="Times New Roman" w:cs="Times New Roman"/>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5" w15:restartNumberingAfterBreak="0">
    <w:nsid w:val="3D0E7D39"/>
    <w:multiLevelType w:val="multilevel"/>
    <w:tmpl w:val="4550823C"/>
    <w:name w:val="AOSch"/>
    <w:lvl w:ilvl="0">
      <w:start w:val="1"/>
      <w:numFmt w:val="decimal"/>
      <w:lvlRestart w:val="0"/>
      <w:pStyle w:val="AOSchHead"/>
      <w:suff w:val="nothing"/>
      <w:lvlText w:val="Exhibit %1"/>
      <w:lvlJc w:val="left"/>
      <w:pPr>
        <w:tabs>
          <w:tab w:val="num" w:pos="0"/>
        </w:tabs>
        <w:ind w:left="0" w:firstLine="0"/>
      </w:pPr>
      <w:rPr>
        <w:rFonts w:ascii="Times New Roman Bold" w:hAnsi="Times New Roman Bold"/>
      </w:rPr>
    </w:lvl>
    <w:lvl w:ilvl="1">
      <w:start w:val="1"/>
      <w:numFmt w:val="decimal"/>
      <w:pStyle w:val="AOSchPartHead"/>
      <w:suff w:val="nothing"/>
      <w:lvlText w:val="Part %2"/>
      <w:lvlJc w:val="left"/>
      <w:pPr>
        <w:tabs>
          <w:tab w:val="num" w:pos="0"/>
        </w:tabs>
        <w:ind w:left="0" w:firstLine="0"/>
      </w:pPr>
      <w:rPr>
        <w:rFonts w:ascii="Times New Roman Bold" w:hAnsi="Times New Roman Bold"/>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6" w15:restartNumberingAfterBreak="0">
    <w:nsid w:val="3E29759A"/>
    <w:multiLevelType w:val="multilevel"/>
    <w:tmpl w:val="70527E12"/>
    <w:name w:val="AOGen2"/>
    <w:lvl w:ilvl="0">
      <w:start w:val="1"/>
      <w:numFmt w:val="decimal"/>
      <w:lvlRestart w:val="0"/>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7" w15:restartNumberingAfterBreak="0">
    <w:nsid w:val="41F230E7"/>
    <w:multiLevelType w:val="singleLevel"/>
    <w:tmpl w:val="DB8E8CFA"/>
    <w:name w:val="AOBullet4List"/>
    <w:lvl w:ilvl="0">
      <w:start w:val="1"/>
      <w:numFmt w:val="bullet"/>
      <w:lvlRestart w:val="0"/>
      <w:pStyle w:val="AOBullet4"/>
      <w:lvlText w:val="§"/>
      <w:lvlJc w:val="left"/>
      <w:pPr>
        <w:tabs>
          <w:tab w:val="num" w:pos="720"/>
        </w:tabs>
        <w:ind w:left="720" w:hanging="720"/>
      </w:pPr>
      <w:rPr>
        <w:rFonts w:ascii="Wingdings" w:hAnsi="Wingdings" w:hint="default"/>
      </w:rPr>
    </w:lvl>
  </w:abstractNum>
  <w:abstractNum w:abstractNumId="8" w15:restartNumberingAfterBreak="0">
    <w:nsid w:val="47B238E7"/>
    <w:multiLevelType w:val="multilevel"/>
    <w:tmpl w:val="B2AE6728"/>
    <w:name w:val="AOGen3"/>
    <w:lvl w:ilvl="0">
      <w:start w:val="1"/>
      <w:numFmt w:val="decimal"/>
      <w:lvlRestart w:val="0"/>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9" w15:restartNumberingAfterBreak="0">
    <w:nsid w:val="49C66851"/>
    <w:multiLevelType w:val="multilevel"/>
    <w:tmpl w:val="6CBA93F8"/>
    <w:name w:val="AOAnx"/>
    <w:lvl w:ilvl="0">
      <w:start w:val="1"/>
      <w:numFmt w:val="decimal"/>
      <w:lvlRestart w:val="0"/>
      <w:pStyle w:val="AOAnxHead"/>
      <w:suff w:val="nothing"/>
      <w:lvlText w:val="Annex %1"/>
      <w:lvlJc w:val="left"/>
      <w:pPr>
        <w:tabs>
          <w:tab w:val="num" w:pos="0"/>
        </w:tabs>
        <w:ind w:left="0" w:firstLine="0"/>
      </w:pPr>
      <w:rPr>
        <w:rFonts w:ascii="Times New Roman Bold" w:hAnsi="Times New Roman Bold"/>
      </w:rPr>
    </w:lvl>
    <w:lvl w:ilvl="1">
      <w:start w:val="1"/>
      <w:numFmt w:val="decimal"/>
      <w:pStyle w:val="AOAnxPartHead"/>
      <w:suff w:val="nothing"/>
      <w:lvlText w:val="Part %2"/>
      <w:lvlJc w:val="left"/>
      <w:pPr>
        <w:tabs>
          <w:tab w:val="num" w:pos="0"/>
        </w:tabs>
        <w:ind w:left="0" w:firstLine="0"/>
      </w:pPr>
      <w:rPr>
        <w:rFonts w:ascii="Times New Roman Bold" w:hAnsi="Times New Roman Bold"/>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10" w15:restartNumberingAfterBreak="0">
    <w:nsid w:val="4CFE7B09"/>
    <w:multiLevelType w:val="multilevel"/>
    <w:tmpl w:val="4D62412A"/>
    <w:name w:val="AO1"/>
    <w:lvl w:ilvl="0">
      <w:start w:val="1"/>
      <w:numFmt w:val="decimal"/>
      <w:lvlRestart w:val="0"/>
      <w:pStyle w:val="AO1"/>
      <w:lvlText w:val="(%1)"/>
      <w:lvlJc w:val="left"/>
      <w:pPr>
        <w:tabs>
          <w:tab w:val="num" w:pos="720"/>
        </w:tabs>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11" w15:restartNumberingAfterBreak="0">
    <w:nsid w:val="4E4B4E3E"/>
    <w:multiLevelType w:val="multilevel"/>
    <w:tmpl w:val="8E28F8DC"/>
    <w:lvl w:ilvl="0">
      <w:start w:val="1"/>
      <w:numFmt w:val="decimal"/>
      <w:lvlRestart w:val="0"/>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rPr>
        <w:i w:val="0"/>
        <w:color w:val="000000" w:themeColor="text1"/>
      </w:r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2" w15:restartNumberingAfterBreak="0">
    <w:nsid w:val="511C70D7"/>
    <w:multiLevelType w:val="multilevel"/>
    <w:tmpl w:val="F0408956"/>
    <w:name w:val="AOTOC34"/>
    <w:lvl w:ilvl="0">
      <w:start w:val="1"/>
      <w:numFmt w:val="decimal"/>
      <w:lvlRestart w:val="0"/>
      <w:pStyle w:val="TOC3"/>
      <w:lvlText w:val="%1."/>
      <w:lvlJc w:val="left"/>
      <w:pPr>
        <w:tabs>
          <w:tab w:val="num" w:pos="720"/>
        </w:tabs>
        <w:ind w:left="720" w:hanging="720"/>
      </w:pPr>
      <w:rPr>
        <w:rFonts w:ascii="Times New Roman" w:hAnsi="Times New Roman" w:cs="Times New Roman"/>
      </w:rPr>
    </w:lvl>
    <w:lvl w:ilvl="1">
      <w:start w:val="1"/>
      <w:numFmt w:val="decimal"/>
      <w:pStyle w:val="TOC4"/>
      <w:lvlText w:val="Part %2"/>
      <w:lvlJc w:val="left"/>
      <w:pPr>
        <w:ind w:left="1797" w:hanging="1077"/>
      </w:pPr>
      <w:rPr>
        <w:rFonts w:ascii="Times New Roman" w:hAnsi="Times New Roman" w:cs="Times New Roman"/>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13" w15:restartNumberingAfterBreak="0">
    <w:nsid w:val="62830D10"/>
    <w:multiLevelType w:val="multilevel"/>
    <w:tmpl w:val="3A762308"/>
    <w:name w:val="AOA"/>
    <w:lvl w:ilvl="0">
      <w:start w:val="1"/>
      <w:numFmt w:val="upperLetter"/>
      <w:lvlRestart w:val="0"/>
      <w:pStyle w:val="AOA"/>
      <w:lvlText w:val="(%1)"/>
      <w:lvlJc w:val="left"/>
      <w:pPr>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14" w15:restartNumberingAfterBreak="0">
    <w:nsid w:val="6AA227D0"/>
    <w:multiLevelType w:val="multilevel"/>
    <w:tmpl w:val="4F700328"/>
    <w:name w:val="AOTOC89"/>
    <w:lvl w:ilvl="0">
      <w:start w:val="1"/>
      <w:numFmt w:val="decimal"/>
      <w:lvlRestart w:val="0"/>
      <w:pStyle w:val="TOC8"/>
      <w:lvlText w:val="%1."/>
      <w:lvlJc w:val="left"/>
      <w:pPr>
        <w:tabs>
          <w:tab w:val="num" w:pos="720"/>
        </w:tabs>
        <w:ind w:left="720" w:hanging="720"/>
      </w:pPr>
      <w:rPr>
        <w:rFonts w:ascii="Times New Roman" w:hAnsi="Times New Roman" w:cs="Times New Roman"/>
      </w:rPr>
    </w:lvl>
    <w:lvl w:ilvl="1">
      <w:start w:val="1"/>
      <w:numFmt w:val="decimal"/>
      <w:pStyle w:val="TOC9"/>
      <w:lvlText w:val="Part %2"/>
      <w:lvlJc w:val="left"/>
      <w:pPr>
        <w:ind w:left="1797" w:hanging="1077"/>
      </w:pPr>
      <w:rPr>
        <w:rFonts w:ascii="Times New Roman" w:hAnsi="Times New Roman" w:cs="Times New Roman"/>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15" w15:restartNumberingAfterBreak="0">
    <w:nsid w:val="6F025FAA"/>
    <w:multiLevelType w:val="multilevel"/>
    <w:tmpl w:val="9044E4F6"/>
    <w:name w:val="AODef"/>
    <w:lvl w:ilvl="0">
      <w:start w:val="1"/>
      <w:numFmt w:val="none"/>
      <w:lvlRestart w:val="0"/>
      <w:pStyle w:val="AODefHead"/>
      <w:suff w:val="nothing"/>
      <w:lvlText w:val=""/>
      <w:lvlJc w:val="left"/>
      <w:pPr>
        <w:tabs>
          <w:tab w:val="num" w:pos="720"/>
        </w:tabs>
        <w:ind w:left="720" w:firstLine="0"/>
      </w:pPr>
    </w:lvl>
    <w:lvl w:ilvl="1">
      <w:start w:val="1"/>
      <w:numFmt w:val="none"/>
      <w:pStyle w:val="AODefPara"/>
      <w:suff w:val="nothing"/>
      <w:lvlText w:val=""/>
      <w:lvlJc w:val="left"/>
      <w:pPr>
        <w:tabs>
          <w:tab w:val="num" w:pos="720"/>
        </w:tabs>
        <w:ind w:left="720" w:firstLine="0"/>
      </w:pPr>
    </w:lvl>
    <w:lvl w:ilvl="2">
      <w:start w:val="1"/>
      <w:numFmt w:val="lowerLetter"/>
      <w:lvlText w:val="(%3)"/>
      <w:lvlJc w:val="left"/>
      <w:pPr>
        <w:tabs>
          <w:tab w:val="num" w:pos="1440"/>
        </w:tabs>
        <w:ind w:left="1440" w:hanging="720"/>
      </w:pPr>
    </w:lvl>
    <w:lvl w:ilvl="3">
      <w:start w:val="1"/>
      <w:numFmt w:val="lowerRoman"/>
      <w:lvlText w:val="(%4)"/>
      <w:lvlJc w:val="left"/>
      <w:pPr>
        <w:tabs>
          <w:tab w:val="num" w:pos="1440"/>
        </w:tabs>
        <w:ind w:left="144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lvl>
    <w:lvl w:ilvl="8">
      <w:start w:val="1"/>
      <w:numFmt w:val="decimal"/>
      <w:lvlText w:val="(%9)"/>
      <w:lvlJc w:val="left"/>
      <w:pPr>
        <w:tabs>
          <w:tab w:val="num" w:pos="2160"/>
        </w:tabs>
        <w:ind w:left="2160" w:hanging="720"/>
      </w:pPr>
    </w:lvl>
  </w:abstractNum>
  <w:abstractNum w:abstractNumId="16" w15:restartNumberingAfterBreak="0">
    <w:nsid w:val="6F8D3D7A"/>
    <w:multiLevelType w:val="singleLevel"/>
    <w:tmpl w:val="5BF89052"/>
    <w:name w:val="AOBullet3List"/>
    <w:lvl w:ilvl="0">
      <w:start w:val="1"/>
      <w:numFmt w:val="bullet"/>
      <w:lvlRestart w:val="0"/>
      <w:pStyle w:val="AOBullet3"/>
      <w:lvlText w:val="-"/>
      <w:lvlJc w:val="left"/>
      <w:pPr>
        <w:tabs>
          <w:tab w:val="num" w:pos="720"/>
        </w:tabs>
        <w:ind w:left="720" w:hanging="720"/>
      </w:pPr>
      <w:rPr>
        <w:rFonts w:ascii="Symbol" w:hAnsi="Symbol" w:hint="default"/>
      </w:rPr>
    </w:lvl>
  </w:abstractNum>
  <w:abstractNum w:abstractNumId="17" w15:restartNumberingAfterBreak="0">
    <w:nsid w:val="761544F7"/>
    <w:multiLevelType w:val="multilevel"/>
    <w:tmpl w:val="3926C790"/>
    <w:name w:val="AOGen1"/>
    <w:lvl w:ilvl="0">
      <w:start w:val="1"/>
      <w:numFmt w:val="decimal"/>
      <w:lvlRestart w:val="0"/>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rPr>
        <w:rFonts w:ascii="Times New Roman" w:hAnsi="Times New Roman" w:cs="Times New Roman"/>
      </w:rPr>
    </w:lvl>
    <w:lvl w:ilvl="6">
      <w:start w:val="1"/>
      <w:numFmt w:val="upperLetter"/>
      <w:lvlText w:val="(%7)"/>
      <w:lvlJc w:val="left"/>
      <w:pPr>
        <w:tabs>
          <w:tab w:val="num" w:pos="2160"/>
        </w:tabs>
        <w:ind w:left="2160" w:hanging="720"/>
      </w:pPr>
      <w:rPr>
        <w:rFonts w:ascii="Times New Roman" w:hAnsi="Times New Roman" w:cs="Times New Roman"/>
      </w:r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num w:numId="1">
    <w:abstractNumId w:val="11"/>
  </w:num>
  <w:num w:numId="2">
    <w:abstractNumId w:val="10"/>
  </w:num>
  <w:num w:numId="3">
    <w:abstractNumId w:val="13"/>
  </w:num>
  <w:num w:numId="4">
    <w:abstractNumId w:val="17"/>
  </w:num>
  <w:num w:numId="5">
    <w:abstractNumId w:val="6"/>
  </w:num>
  <w:num w:numId="6">
    <w:abstractNumId w:val="8"/>
  </w:num>
  <w:num w:numId="7">
    <w:abstractNumId w:val="15"/>
  </w:num>
  <w:num w:numId="8">
    <w:abstractNumId w:val="0"/>
  </w:num>
  <w:num w:numId="9">
    <w:abstractNumId w:val="9"/>
  </w:num>
  <w:num w:numId="10">
    <w:abstractNumId w:val="5"/>
  </w:num>
  <w:num w:numId="11">
    <w:abstractNumId w:val="3"/>
  </w:num>
  <w:num w:numId="12">
    <w:abstractNumId w:val="2"/>
  </w:num>
  <w:num w:numId="13">
    <w:abstractNumId w:val="16"/>
  </w:num>
  <w:num w:numId="14">
    <w:abstractNumId w:val="7"/>
  </w:num>
  <w:num w:numId="15">
    <w:abstractNumId w:val="12"/>
  </w:num>
  <w:num w:numId="16">
    <w:abstractNumId w:val="4"/>
  </w:num>
  <w:num w:numId="17">
    <w:abstractNumId w:val="14"/>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A93"/>
    <w:rsid w:val="00000078"/>
    <w:rsid w:val="00000191"/>
    <w:rsid w:val="00003D20"/>
    <w:rsid w:val="00006283"/>
    <w:rsid w:val="00010DDA"/>
    <w:rsid w:val="00016748"/>
    <w:rsid w:val="00017A2F"/>
    <w:rsid w:val="00017FAA"/>
    <w:rsid w:val="00022F3F"/>
    <w:rsid w:val="00024478"/>
    <w:rsid w:val="000251C8"/>
    <w:rsid w:val="00027D38"/>
    <w:rsid w:val="00034554"/>
    <w:rsid w:val="00035EFB"/>
    <w:rsid w:val="00041259"/>
    <w:rsid w:val="00043000"/>
    <w:rsid w:val="00046646"/>
    <w:rsid w:val="000477D5"/>
    <w:rsid w:val="00055554"/>
    <w:rsid w:val="00056D48"/>
    <w:rsid w:val="000655ED"/>
    <w:rsid w:val="0007137F"/>
    <w:rsid w:val="000740F8"/>
    <w:rsid w:val="000743B8"/>
    <w:rsid w:val="0008501C"/>
    <w:rsid w:val="000873C5"/>
    <w:rsid w:val="00087927"/>
    <w:rsid w:val="000919B8"/>
    <w:rsid w:val="000A4BF7"/>
    <w:rsid w:val="000A4D64"/>
    <w:rsid w:val="000B597D"/>
    <w:rsid w:val="000B5CCF"/>
    <w:rsid w:val="000B70E9"/>
    <w:rsid w:val="000D0904"/>
    <w:rsid w:val="000D6525"/>
    <w:rsid w:val="000E0A02"/>
    <w:rsid w:val="000E29A0"/>
    <w:rsid w:val="000E5A59"/>
    <w:rsid w:val="000F0EDD"/>
    <w:rsid w:val="000F3B25"/>
    <w:rsid w:val="000F5FDB"/>
    <w:rsid w:val="00101876"/>
    <w:rsid w:val="00105050"/>
    <w:rsid w:val="00105DE0"/>
    <w:rsid w:val="00110555"/>
    <w:rsid w:val="00110C9C"/>
    <w:rsid w:val="00111B74"/>
    <w:rsid w:val="0012401D"/>
    <w:rsid w:val="001274C1"/>
    <w:rsid w:val="001300A6"/>
    <w:rsid w:val="00130B02"/>
    <w:rsid w:val="00133D1E"/>
    <w:rsid w:val="001413BA"/>
    <w:rsid w:val="00141433"/>
    <w:rsid w:val="00142FB0"/>
    <w:rsid w:val="00146CF0"/>
    <w:rsid w:val="0015263F"/>
    <w:rsid w:val="0015464E"/>
    <w:rsid w:val="00156043"/>
    <w:rsid w:val="00157A2E"/>
    <w:rsid w:val="00162C4C"/>
    <w:rsid w:val="00165B21"/>
    <w:rsid w:val="00170886"/>
    <w:rsid w:val="00172E18"/>
    <w:rsid w:val="00172F7B"/>
    <w:rsid w:val="0017585E"/>
    <w:rsid w:val="00176F93"/>
    <w:rsid w:val="001829F5"/>
    <w:rsid w:val="00182C47"/>
    <w:rsid w:val="00182D8F"/>
    <w:rsid w:val="00182DBB"/>
    <w:rsid w:val="0018303A"/>
    <w:rsid w:val="00184424"/>
    <w:rsid w:val="00184ECE"/>
    <w:rsid w:val="00190C3B"/>
    <w:rsid w:val="00196A34"/>
    <w:rsid w:val="00197FC3"/>
    <w:rsid w:val="001D0B2D"/>
    <w:rsid w:val="001D47B2"/>
    <w:rsid w:val="001D4F10"/>
    <w:rsid w:val="001D5DA0"/>
    <w:rsid w:val="001D651F"/>
    <w:rsid w:val="001D6B08"/>
    <w:rsid w:val="001E0DA6"/>
    <w:rsid w:val="001E0EC6"/>
    <w:rsid w:val="001E595C"/>
    <w:rsid w:val="001E5D97"/>
    <w:rsid w:val="001E6479"/>
    <w:rsid w:val="001F6004"/>
    <w:rsid w:val="001F6251"/>
    <w:rsid w:val="001F7720"/>
    <w:rsid w:val="00202EB5"/>
    <w:rsid w:val="00203C47"/>
    <w:rsid w:val="00206F60"/>
    <w:rsid w:val="002141D1"/>
    <w:rsid w:val="00214387"/>
    <w:rsid w:val="00217546"/>
    <w:rsid w:val="00217AF4"/>
    <w:rsid w:val="00220350"/>
    <w:rsid w:val="00227DC5"/>
    <w:rsid w:val="00234A9B"/>
    <w:rsid w:val="00242460"/>
    <w:rsid w:val="00245278"/>
    <w:rsid w:val="00245705"/>
    <w:rsid w:val="002506B0"/>
    <w:rsid w:val="00252662"/>
    <w:rsid w:val="00253550"/>
    <w:rsid w:val="00256CB0"/>
    <w:rsid w:val="00261781"/>
    <w:rsid w:val="00264F9B"/>
    <w:rsid w:val="002674C0"/>
    <w:rsid w:val="00267C1B"/>
    <w:rsid w:val="0027747D"/>
    <w:rsid w:val="00283480"/>
    <w:rsid w:val="00286550"/>
    <w:rsid w:val="00290F9C"/>
    <w:rsid w:val="0029158C"/>
    <w:rsid w:val="002915CD"/>
    <w:rsid w:val="002929C4"/>
    <w:rsid w:val="002A2848"/>
    <w:rsid w:val="002A48C1"/>
    <w:rsid w:val="002A4E84"/>
    <w:rsid w:val="002B0539"/>
    <w:rsid w:val="002B12DA"/>
    <w:rsid w:val="002B520C"/>
    <w:rsid w:val="002B6D4E"/>
    <w:rsid w:val="002C0C16"/>
    <w:rsid w:val="002C40B5"/>
    <w:rsid w:val="002C7F5F"/>
    <w:rsid w:val="002D0A47"/>
    <w:rsid w:val="002D39D3"/>
    <w:rsid w:val="002D4295"/>
    <w:rsid w:val="002E524A"/>
    <w:rsid w:val="002F0565"/>
    <w:rsid w:val="002F05D3"/>
    <w:rsid w:val="002F1D99"/>
    <w:rsid w:val="002F286F"/>
    <w:rsid w:val="002F29F4"/>
    <w:rsid w:val="002F3E8D"/>
    <w:rsid w:val="00301E57"/>
    <w:rsid w:val="003051E9"/>
    <w:rsid w:val="00306940"/>
    <w:rsid w:val="00312029"/>
    <w:rsid w:val="003221A9"/>
    <w:rsid w:val="00330EAC"/>
    <w:rsid w:val="00336978"/>
    <w:rsid w:val="0034253A"/>
    <w:rsid w:val="003432CF"/>
    <w:rsid w:val="00343937"/>
    <w:rsid w:val="003558DC"/>
    <w:rsid w:val="003571BC"/>
    <w:rsid w:val="003578E9"/>
    <w:rsid w:val="00360A7C"/>
    <w:rsid w:val="00362800"/>
    <w:rsid w:val="003629D5"/>
    <w:rsid w:val="00376AC7"/>
    <w:rsid w:val="00380A77"/>
    <w:rsid w:val="00384886"/>
    <w:rsid w:val="00393835"/>
    <w:rsid w:val="003A0360"/>
    <w:rsid w:val="003A1D2B"/>
    <w:rsid w:val="003A55E5"/>
    <w:rsid w:val="003B2B77"/>
    <w:rsid w:val="003C0DF4"/>
    <w:rsid w:val="003C10D3"/>
    <w:rsid w:val="003C388E"/>
    <w:rsid w:val="003C6A9C"/>
    <w:rsid w:val="003C75E4"/>
    <w:rsid w:val="003D0E1B"/>
    <w:rsid w:val="003D3D88"/>
    <w:rsid w:val="003D4A74"/>
    <w:rsid w:val="003D706C"/>
    <w:rsid w:val="003E1302"/>
    <w:rsid w:val="003E19E7"/>
    <w:rsid w:val="003E4074"/>
    <w:rsid w:val="003E4C00"/>
    <w:rsid w:val="003E5509"/>
    <w:rsid w:val="003E784A"/>
    <w:rsid w:val="003F03EE"/>
    <w:rsid w:val="004001B1"/>
    <w:rsid w:val="00403C80"/>
    <w:rsid w:val="00421148"/>
    <w:rsid w:val="0042185D"/>
    <w:rsid w:val="00422BE8"/>
    <w:rsid w:val="00425CB6"/>
    <w:rsid w:val="00432FBB"/>
    <w:rsid w:val="004409A4"/>
    <w:rsid w:val="00442444"/>
    <w:rsid w:val="004535CF"/>
    <w:rsid w:val="00453D93"/>
    <w:rsid w:val="00455CC5"/>
    <w:rsid w:val="00457C37"/>
    <w:rsid w:val="0046108F"/>
    <w:rsid w:val="0046616B"/>
    <w:rsid w:val="0047241F"/>
    <w:rsid w:val="004730E7"/>
    <w:rsid w:val="00475474"/>
    <w:rsid w:val="00475716"/>
    <w:rsid w:val="004806F7"/>
    <w:rsid w:val="00487D51"/>
    <w:rsid w:val="00490B24"/>
    <w:rsid w:val="00491D77"/>
    <w:rsid w:val="00495741"/>
    <w:rsid w:val="00495AA0"/>
    <w:rsid w:val="004A2127"/>
    <w:rsid w:val="004A3CC5"/>
    <w:rsid w:val="004A4B6D"/>
    <w:rsid w:val="004A50D2"/>
    <w:rsid w:val="004A69B7"/>
    <w:rsid w:val="004B225C"/>
    <w:rsid w:val="004B4D7A"/>
    <w:rsid w:val="004B6C5F"/>
    <w:rsid w:val="004C2AE6"/>
    <w:rsid w:val="004C56B4"/>
    <w:rsid w:val="004C7DCF"/>
    <w:rsid w:val="004D48A0"/>
    <w:rsid w:val="004E2347"/>
    <w:rsid w:val="004E2E8D"/>
    <w:rsid w:val="004F3291"/>
    <w:rsid w:val="004F3827"/>
    <w:rsid w:val="004F526A"/>
    <w:rsid w:val="00500BAE"/>
    <w:rsid w:val="0050176F"/>
    <w:rsid w:val="00504663"/>
    <w:rsid w:val="00512FE3"/>
    <w:rsid w:val="00514367"/>
    <w:rsid w:val="005165B7"/>
    <w:rsid w:val="0052020F"/>
    <w:rsid w:val="005227A5"/>
    <w:rsid w:val="00525065"/>
    <w:rsid w:val="00527A32"/>
    <w:rsid w:val="005301CA"/>
    <w:rsid w:val="00532173"/>
    <w:rsid w:val="0053777C"/>
    <w:rsid w:val="00541A12"/>
    <w:rsid w:val="005436AA"/>
    <w:rsid w:val="00546210"/>
    <w:rsid w:val="00546887"/>
    <w:rsid w:val="00547A04"/>
    <w:rsid w:val="005508C3"/>
    <w:rsid w:val="00550F54"/>
    <w:rsid w:val="005567CE"/>
    <w:rsid w:val="00556953"/>
    <w:rsid w:val="00557EEC"/>
    <w:rsid w:val="00565F3D"/>
    <w:rsid w:val="00570FD0"/>
    <w:rsid w:val="005739FE"/>
    <w:rsid w:val="00576C31"/>
    <w:rsid w:val="005814F2"/>
    <w:rsid w:val="00581BB0"/>
    <w:rsid w:val="00582318"/>
    <w:rsid w:val="00595086"/>
    <w:rsid w:val="005A1003"/>
    <w:rsid w:val="005A2F30"/>
    <w:rsid w:val="005A2FF3"/>
    <w:rsid w:val="005A41AE"/>
    <w:rsid w:val="005A50CF"/>
    <w:rsid w:val="005A6D21"/>
    <w:rsid w:val="005A7EBD"/>
    <w:rsid w:val="005B1663"/>
    <w:rsid w:val="005B193B"/>
    <w:rsid w:val="005B2207"/>
    <w:rsid w:val="005B505D"/>
    <w:rsid w:val="005B5BE5"/>
    <w:rsid w:val="005B75DC"/>
    <w:rsid w:val="005C0B10"/>
    <w:rsid w:val="005C241A"/>
    <w:rsid w:val="005C5E55"/>
    <w:rsid w:val="005D0097"/>
    <w:rsid w:val="005D126C"/>
    <w:rsid w:val="005D1D80"/>
    <w:rsid w:val="005D3C6F"/>
    <w:rsid w:val="005D52C1"/>
    <w:rsid w:val="005D6E0A"/>
    <w:rsid w:val="005E37CF"/>
    <w:rsid w:val="005F2619"/>
    <w:rsid w:val="005F33A6"/>
    <w:rsid w:val="005F37F4"/>
    <w:rsid w:val="005F4544"/>
    <w:rsid w:val="005F7276"/>
    <w:rsid w:val="005F72A2"/>
    <w:rsid w:val="005F72B2"/>
    <w:rsid w:val="00603519"/>
    <w:rsid w:val="006059DF"/>
    <w:rsid w:val="00613D4B"/>
    <w:rsid w:val="00614508"/>
    <w:rsid w:val="006152A1"/>
    <w:rsid w:val="00616282"/>
    <w:rsid w:val="00616D37"/>
    <w:rsid w:val="00623179"/>
    <w:rsid w:val="00626142"/>
    <w:rsid w:val="00631BE8"/>
    <w:rsid w:val="00647A7A"/>
    <w:rsid w:val="0065103C"/>
    <w:rsid w:val="00664400"/>
    <w:rsid w:val="00664CEE"/>
    <w:rsid w:val="00665293"/>
    <w:rsid w:val="00671AE4"/>
    <w:rsid w:val="0067681E"/>
    <w:rsid w:val="00685A4F"/>
    <w:rsid w:val="00686170"/>
    <w:rsid w:val="00686DAE"/>
    <w:rsid w:val="006958B8"/>
    <w:rsid w:val="006A0759"/>
    <w:rsid w:val="006A1475"/>
    <w:rsid w:val="006A2ADD"/>
    <w:rsid w:val="006A447B"/>
    <w:rsid w:val="006A6B7E"/>
    <w:rsid w:val="006B2FFA"/>
    <w:rsid w:val="006B5DBC"/>
    <w:rsid w:val="006B7BC2"/>
    <w:rsid w:val="006B7D15"/>
    <w:rsid w:val="006C2340"/>
    <w:rsid w:val="006C3F79"/>
    <w:rsid w:val="006D210F"/>
    <w:rsid w:val="006D39DA"/>
    <w:rsid w:val="006E3D20"/>
    <w:rsid w:val="006E612A"/>
    <w:rsid w:val="006E77D6"/>
    <w:rsid w:val="006F1D03"/>
    <w:rsid w:val="006F48EE"/>
    <w:rsid w:val="006F7666"/>
    <w:rsid w:val="007037FC"/>
    <w:rsid w:val="0070473F"/>
    <w:rsid w:val="007104A8"/>
    <w:rsid w:val="00711399"/>
    <w:rsid w:val="00711D8C"/>
    <w:rsid w:val="00712650"/>
    <w:rsid w:val="00715005"/>
    <w:rsid w:val="007154DB"/>
    <w:rsid w:val="00716D40"/>
    <w:rsid w:val="00720F26"/>
    <w:rsid w:val="00722230"/>
    <w:rsid w:val="007312AC"/>
    <w:rsid w:val="00731B83"/>
    <w:rsid w:val="00733EED"/>
    <w:rsid w:val="00736EDD"/>
    <w:rsid w:val="00737A05"/>
    <w:rsid w:val="007421EB"/>
    <w:rsid w:val="007425EE"/>
    <w:rsid w:val="00743244"/>
    <w:rsid w:val="00744197"/>
    <w:rsid w:val="00746024"/>
    <w:rsid w:val="0075308A"/>
    <w:rsid w:val="00755620"/>
    <w:rsid w:val="00763407"/>
    <w:rsid w:val="00764CBD"/>
    <w:rsid w:val="00766A26"/>
    <w:rsid w:val="0077265E"/>
    <w:rsid w:val="00774F8F"/>
    <w:rsid w:val="00783205"/>
    <w:rsid w:val="00783467"/>
    <w:rsid w:val="00783A32"/>
    <w:rsid w:val="00785DEE"/>
    <w:rsid w:val="007860B6"/>
    <w:rsid w:val="00790135"/>
    <w:rsid w:val="007948D1"/>
    <w:rsid w:val="00794FEB"/>
    <w:rsid w:val="00797298"/>
    <w:rsid w:val="007A2E36"/>
    <w:rsid w:val="007A37A8"/>
    <w:rsid w:val="007A5851"/>
    <w:rsid w:val="007A5A96"/>
    <w:rsid w:val="007A5D09"/>
    <w:rsid w:val="007A7FBE"/>
    <w:rsid w:val="007B296C"/>
    <w:rsid w:val="007B5032"/>
    <w:rsid w:val="007C1C07"/>
    <w:rsid w:val="007C364C"/>
    <w:rsid w:val="007D2E3E"/>
    <w:rsid w:val="007E408A"/>
    <w:rsid w:val="007F0938"/>
    <w:rsid w:val="007F3786"/>
    <w:rsid w:val="007F4DC8"/>
    <w:rsid w:val="007F61A2"/>
    <w:rsid w:val="007F6B8E"/>
    <w:rsid w:val="007F7187"/>
    <w:rsid w:val="007F7B69"/>
    <w:rsid w:val="00800F92"/>
    <w:rsid w:val="0080307F"/>
    <w:rsid w:val="00804BF2"/>
    <w:rsid w:val="00813B3C"/>
    <w:rsid w:val="00815E8B"/>
    <w:rsid w:val="00817353"/>
    <w:rsid w:val="0082085C"/>
    <w:rsid w:val="00821C1B"/>
    <w:rsid w:val="00823B11"/>
    <w:rsid w:val="00825AAA"/>
    <w:rsid w:val="0082663C"/>
    <w:rsid w:val="00830F23"/>
    <w:rsid w:val="008343AB"/>
    <w:rsid w:val="00834EC9"/>
    <w:rsid w:val="00846460"/>
    <w:rsid w:val="00853858"/>
    <w:rsid w:val="00855B97"/>
    <w:rsid w:val="00862FD4"/>
    <w:rsid w:val="0086364A"/>
    <w:rsid w:val="00863A71"/>
    <w:rsid w:val="00863DDF"/>
    <w:rsid w:val="00863FB1"/>
    <w:rsid w:val="00865215"/>
    <w:rsid w:val="0086637D"/>
    <w:rsid w:val="00866F28"/>
    <w:rsid w:val="00867328"/>
    <w:rsid w:val="008711A6"/>
    <w:rsid w:val="00874025"/>
    <w:rsid w:val="0088493D"/>
    <w:rsid w:val="0089214C"/>
    <w:rsid w:val="00893DEA"/>
    <w:rsid w:val="00894701"/>
    <w:rsid w:val="008A45AC"/>
    <w:rsid w:val="008A54C4"/>
    <w:rsid w:val="008B173E"/>
    <w:rsid w:val="008B564C"/>
    <w:rsid w:val="008B651E"/>
    <w:rsid w:val="008B6EB1"/>
    <w:rsid w:val="008C0B19"/>
    <w:rsid w:val="008D14B0"/>
    <w:rsid w:val="008D3EF6"/>
    <w:rsid w:val="008E6C59"/>
    <w:rsid w:val="008E712A"/>
    <w:rsid w:val="008F2BA6"/>
    <w:rsid w:val="008F615C"/>
    <w:rsid w:val="00906EA5"/>
    <w:rsid w:val="00914461"/>
    <w:rsid w:val="00914E25"/>
    <w:rsid w:val="00920B61"/>
    <w:rsid w:val="00924806"/>
    <w:rsid w:val="00935E60"/>
    <w:rsid w:val="00936027"/>
    <w:rsid w:val="009501A2"/>
    <w:rsid w:val="00951D85"/>
    <w:rsid w:val="009538C1"/>
    <w:rsid w:val="00961410"/>
    <w:rsid w:val="00961F4C"/>
    <w:rsid w:val="009625AE"/>
    <w:rsid w:val="0096492B"/>
    <w:rsid w:val="0096506A"/>
    <w:rsid w:val="009653F7"/>
    <w:rsid w:val="009772CE"/>
    <w:rsid w:val="00980895"/>
    <w:rsid w:val="0099167C"/>
    <w:rsid w:val="0099343B"/>
    <w:rsid w:val="0099411B"/>
    <w:rsid w:val="00996798"/>
    <w:rsid w:val="0099784D"/>
    <w:rsid w:val="00997E31"/>
    <w:rsid w:val="009A01D8"/>
    <w:rsid w:val="009A0E3E"/>
    <w:rsid w:val="009A38CB"/>
    <w:rsid w:val="009A3A64"/>
    <w:rsid w:val="009A3E5D"/>
    <w:rsid w:val="009A3E6C"/>
    <w:rsid w:val="009A3E86"/>
    <w:rsid w:val="009B0B04"/>
    <w:rsid w:val="009B2EB7"/>
    <w:rsid w:val="009B3631"/>
    <w:rsid w:val="009B4F51"/>
    <w:rsid w:val="009B5EB9"/>
    <w:rsid w:val="009B6FDD"/>
    <w:rsid w:val="009C1235"/>
    <w:rsid w:val="009C1FD5"/>
    <w:rsid w:val="009C2310"/>
    <w:rsid w:val="009C3148"/>
    <w:rsid w:val="009C32B2"/>
    <w:rsid w:val="009D24EA"/>
    <w:rsid w:val="009D2F6B"/>
    <w:rsid w:val="009D4184"/>
    <w:rsid w:val="009D49DD"/>
    <w:rsid w:val="009E35C8"/>
    <w:rsid w:val="009E4CD8"/>
    <w:rsid w:val="009E6646"/>
    <w:rsid w:val="009F37F3"/>
    <w:rsid w:val="009F7A45"/>
    <w:rsid w:val="00A018C7"/>
    <w:rsid w:val="00A01EF7"/>
    <w:rsid w:val="00A0341D"/>
    <w:rsid w:val="00A11293"/>
    <w:rsid w:val="00A14E57"/>
    <w:rsid w:val="00A17D23"/>
    <w:rsid w:val="00A21FC9"/>
    <w:rsid w:val="00A22E50"/>
    <w:rsid w:val="00A23ACD"/>
    <w:rsid w:val="00A25C81"/>
    <w:rsid w:val="00A32828"/>
    <w:rsid w:val="00A34A48"/>
    <w:rsid w:val="00A422B9"/>
    <w:rsid w:val="00A4331F"/>
    <w:rsid w:val="00A43DFA"/>
    <w:rsid w:val="00A515D6"/>
    <w:rsid w:val="00A5363B"/>
    <w:rsid w:val="00A5381B"/>
    <w:rsid w:val="00A54FD9"/>
    <w:rsid w:val="00A56B82"/>
    <w:rsid w:val="00A606BB"/>
    <w:rsid w:val="00A60F25"/>
    <w:rsid w:val="00A627B7"/>
    <w:rsid w:val="00A63AC7"/>
    <w:rsid w:val="00A64794"/>
    <w:rsid w:val="00A70177"/>
    <w:rsid w:val="00A70AF0"/>
    <w:rsid w:val="00A772DF"/>
    <w:rsid w:val="00A77EBB"/>
    <w:rsid w:val="00A81A5D"/>
    <w:rsid w:val="00A852C8"/>
    <w:rsid w:val="00A861E5"/>
    <w:rsid w:val="00A906FE"/>
    <w:rsid w:val="00A92503"/>
    <w:rsid w:val="00A9286B"/>
    <w:rsid w:val="00A96C82"/>
    <w:rsid w:val="00A96E7D"/>
    <w:rsid w:val="00AA022F"/>
    <w:rsid w:val="00AA069D"/>
    <w:rsid w:val="00AA07A9"/>
    <w:rsid w:val="00AA0DAA"/>
    <w:rsid w:val="00AA4B1B"/>
    <w:rsid w:val="00AA5959"/>
    <w:rsid w:val="00AA5CF5"/>
    <w:rsid w:val="00AB1238"/>
    <w:rsid w:val="00AB5CA9"/>
    <w:rsid w:val="00AC05D5"/>
    <w:rsid w:val="00AC645F"/>
    <w:rsid w:val="00AD02B0"/>
    <w:rsid w:val="00AD07B9"/>
    <w:rsid w:val="00AD19D0"/>
    <w:rsid w:val="00AD1F53"/>
    <w:rsid w:val="00AD217A"/>
    <w:rsid w:val="00AD2872"/>
    <w:rsid w:val="00AD4D44"/>
    <w:rsid w:val="00AD64E1"/>
    <w:rsid w:val="00AD7362"/>
    <w:rsid w:val="00AE0C66"/>
    <w:rsid w:val="00AF2134"/>
    <w:rsid w:val="00AF21DE"/>
    <w:rsid w:val="00AF2931"/>
    <w:rsid w:val="00AF5323"/>
    <w:rsid w:val="00AF5644"/>
    <w:rsid w:val="00AF63AE"/>
    <w:rsid w:val="00B03378"/>
    <w:rsid w:val="00B045B5"/>
    <w:rsid w:val="00B0481D"/>
    <w:rsid w:val="00B057F2"/>
    <w:rsid w:val="00B069FF"/>
    <w:rsid w:val="00B1406A"/>
    <w:rsid w:val="00B141C7"/>
    <w:rsid w:val="00B202FA"/>
    <w:rsid w:val="00B223CC"/>
    <w:rsid w:val="00B23F01"/>
    <w:rsid w:val="00B33B12"/>
    <w:rsid w:val="00B374AC"/>
    <w:rsid w:val="00B414CA"/>
    <w:rsid w:val="00B4174D"/>
    <w:rsid w:val="00B429BB"/>
    <w:rsid w:val="00B4630A"/>
    <w:rsid w:val="00B51A7C"/>
    <w:rsid w:val="00B525CA"/>
    <w:rsid w:val="00B60FAF"/>
    <w:rsid w:val="00B702F1"/>
    <w:rsid w:val="00B70F16"/>
    <w:rsid w:val="00B7131A"/>
    <w:rsid w:val="00B72476"/>
    <w:rsid w:val="00B7530B"/>
    <w:rsid w:val="00B8309A"/>
    <w:rsid w:val="00B847A6"/>
    <w:rsid w:val="00B87B5E"/>
    <w:rsid w:val="00B9443F"/>
    <w:rsid w:val="00BB0F70"/>
    <w:rsid w:val="00BC1EB6"/>
    <w:rsid w:val="00BC232C"/>
    <w:rsid w:val="00BC435C"/>
    <w:rsid w:val="00BC459B"/>
    <w:rsid w:val="00BC4E18"/>
    <w:rsid w:val="00BC5FE1"/>
    <w:rsid w:val="00BD20FF"/>
    <w:rsid w:val="00BD3E82"/>
    <w:rsid w:val="00BD4EC5"/>
    <w:rsid w:val="00BD5FB2"/>
    <w:rsid w:val="00BD6717"/>
    <w:rsid w:val="00BD711F"/>
    <w:rsid w:val="00BE3C27"/>
    <w:rsid w:val="00BE77AD"/>
    <w:rsid w:val="00BF4A04"/>
    <w:rsid w:val="00BF6EE8"/>
    <w:rsid w:val="00C0054B"/>
    <w:rsid w:val="00C02A90"/>
    <w:rsid w:val="00C03A99"/>
    <w:rsid w:val="00C045C7"/>
    <w:rsid w:val="00C06A93"/>
    <w:rsid w:val="00C1138A"/>
    <w:rsid w:val="00C13E9D"/>
    <w:rsid w:val="00C14153"/>
    <w:rsid w:val="00C14F80"/>
    <w:rsid w:val="00C25476"/>
    <w:rsid w:val="00C265FD"/>
    <w:rsid w:val="00C3179B"/>
    <w:rsid w:val="00C36CF0"/>
    <w:rsid w:val="00C37828"/>
    <w:rsid w:val="00C4630B"/>
    <w:rsid w:val="00C50FB1"/>
    <w:rsid w:val="00C54B09"/>
    <w:rsid w:val="00C60217"/>
    <w:rsid w:val="00C635EF"/>
    <w:rsid w:val="00C64F55"/>
    <w:rsid w:val="00C65597"/>
    <w:rsid w:val="00C67017"/>
    <w:rsid w:val="00C706D9"/>
    <w:rsid w:val="00C7207C"/>
    <w:rsid w:val="00C75CC8"/>
    <w:rsid w:val="00C816CB"/>
    <w:rsid w:val="00C81DB6"/>
    <w:rsid w:val="00C828D6"/>
    <w:rsid w:val="00C848E8"/>
    <w:rsid w:val="00C85E33"/>
    <w:rsid w:val="00C86088"/>
    <w:rsid w:val="00C86A1D"/>
    <w:rsid w:val="00C87767"/>
    <w:rsid w:val="00C9008A"/>
    <w:rsid w:val="00CA0BBB"/>
    <w:rsid w:val="00CA0EB1"/>
    <w:rsid w:val="00CA1DB0"/>
    <w:rsid w:val="00CA430C"/>
    <w:rsid w:val="00CA4703"/>
    <w:rsid w:val="00CA583F"/>
    <w:rsid w:val="00CA798B"/>
    <w:rsid w:val="00CB1A64"/>
    <w:rsid w:val="00CB341D"/>
    <w:rsid w:val="00CC1A88"/>
    <w:rsid w:val="00CD20E7"/>
    <w:rsid w:val="00CD6991"/>
    <w:rsid w:val="00CE3EA4"/>
    <w:rsid w:val="00CE610F"/>
    <w:rsid w:val="00CE6E93"/>
    <w:rsid w:val="00CE7F9F"/>
    <w:rsid w:val="00CF118E"/>
    <w:rsid w:val="00CF222B"/>
    <w:rsid w:val="00CF2FEF"/>
    <w:rsid w:val="00CF3460"/>
    <w:rsid w:val="00CF38C7"/>
    <w:rsid w:val="00CF38F0"/>
    <w:rsid w:val="00CF50AF"/>
    <w:rsid w:val="00D016EF"/>
    <w:rsid w:val="00D0355F"/>
    <w:rsid w:val="00D03965"/>
    <w:rsid w:val="00D064DF"/>
    <w:rsid w:val="00D07831"/>
    <w:rsid w:val="00D07BE5"/>
    <w:rsid w:val="00D07F5B"/>
    <w:rsid w:val="00D1069A"/>
    <w:rsid w:val="00D147D0"/>
    <w:rsid w:val="00D14EDC"/>
    <w:rsid w:val="00D160FF"/>
    <w:rsid w:val="00D16EE3"/>
    <w:rsid w:val="00D21BFD"/>
    <w:rsid w:val="00D2405C"/>
    <w:rsid w:val="00D30453"/>
    <w:rsid w:val="00D35FF5"/>
    <w:rsid w:val="00D403BB"/>
    <w:rsid w:val="00D4122B"/>
    <w:rsid w:val="00D43B9E"/>
    <w:rsid w:val="00D46965"/>
    <w:rsid w:val="00D5150E"/>
    <w:rsid w:val="00D55636"/>
    <w:rsid w:val="00D57976"/>
    <w:rsid w:val="00D6029F"/>
    <w:rsid w:val="00D661BC"/>
    <w:rsid w:val="00D73FE8"/>
    <w:rsid w:val="00D74E7B"/>
    <w:rsid w:val="00D86C0D"/>
    <w:rsid w:val="00D86CA2"/>
    <w:rsid w:val="00D921CE"/>
    <w:rsid w:val="00D96027"/>
    <w:rsid w:val="00D9698F"/>
    <w:rsid w:val="00DB0F03"/>
    <w:rsid w:val="00DB2F56"/>
    <w:rsid w:val="00DB3A4E"/>
    <w:rsid w:val="00DB6401"/>
    <w:rsid w:val="00DB771A"/>
    <w:rsid w:val="00DC1F44"/>
    <w:rsid w:val="00DC36B8"/>
    <w:rsid w:val="00DD01C6"/>
    <w:rsid w:val="00DD0A99"/>
    <w:rsid w:val="00DD257A"/>
    <w:rsid w:val="00DD42A8"/>
    <w:rsid w:val="00DE01F0"/>
    <w:rsid w:val="00DE0B53"/>
    <w:rsid w:val="00DE10B3"/>
    <w:rsid w:val="00DE1799"/>
    <w:rsid w:val="00DE3E95"/>
    <w:rsid w:val="00DE51E1"/>
    <w:rsid w:val="00DF138A"/>
    <w:rsid w:val="00DF1FAF"/>
    <w:rsid w:val="00DF2B62"/>
    <w:rsid w:val="00DF44D4"/>
    <w:rsid w:val="00DF64EA"/>
    <w:rsid w:val="00DF72EA"/>
    <w:rsid w:val="00E0210C"/>
    <w:rsid w:val="00E11671"/>
    <w:rsid w:val="00E16AB6"/>
    <w:rsid w:val="00E17292"/>
    <w:rsid w:val="00E20C15"/>
    <w:rsid w:val="00E360BB"/>
    <w:rsid w:val="00E41A20"/>
    <w:rsid w:val="00E4247A"/>
    <w:rsid w:val="00E44C3D"/>
    <w:rsid w:val="00E51BDA"/>
    <w:rsid w:val="00E52470"/>
    <w:rsid w:val="00E53B8D"/>
    <w:rsid w:val="00E53D68"/>
    <w:rsid w:val="00E54FBF"/>
    <w:rsid w:val="00E55481"/>
    <w:rsid w:val="00E56224"/>
    <w:rsid w:val="00E60876"/>
    <w:rsid w:val="00E61DB2"/>
    <w:rsid w:val="00E67A42"/>
    <w:rsid w:val="00E71DBE"/>
    <w:rsid w:val="00E73156"/>
    <w:rsid w:val="00E77D0E"/>
    <w:rsid w:val="00E83CE2"/>
    <w:rsid w:val="00E86120"/>
    <w:rsid w:val="00E93138"/>
    <w:rsid w:val="00E96B92"/>
    <w:rsid w:val="00EB1E0B"/>
    <w:rsid w:val="00EB3527"/>
    <w:rsid w:val="00EB388D"/>
    <w:rsid w:val="00EB4CE7"/>
    <w:rsid w:val="00EB6B37"/>
    <w:rsid w:val="00EB725A"/>
    <w:rsid w:val="00EB760A"/>
    <w:rsid w:val="00EC0446"/>
    <w:rsid w:val="00EC13DB"/>
    <w:rsid w:val="00EC5E82"/>
    <w:rsid w:val="00EC710B"/>
    <w:rsid w:val="00ED484E"/>
    <w:rsid w:val="00ED61F7"/>
    <w:rsid w:val="00EE01E8"/>
    <w:rsid w:val="00EE4EE5"/>
    <w:rsid w:val="00EE5653"/>
    <w:rsid w:val="00EF0C0F"/>
    <w:rsid w:val="00EF15E5"/>
    <w:rsid w:val="00EF2084"/>
    <w:rsid w:val="00EF45C7"/>
    <w:rsid w:val="00EF492A"/>
    <w:rsid w:val="00EF4E51"/>
    <w:rsid w:val="00EF6604"/>
    <w:rsid w:val="00EF67F4"/>
    <w:rsid w:val="00F01270"/>
    <w:rsid w:val="00F018B3"/>
    <w:rsid w:val="00F028F1"/>
    <w:rsid w:val="00F02E8B"/>
    <w:rsid w:val="00F13D09"/>
    <w:rsid w:val="00F15105"/>
    <w:rsid w:val="00F15D69"/>
    <w:rsid w:val="00F16505"/>
    <w:rsid w:val="00F204BC"/>
    <w:rsid w:val="00F21725"/>
    <w:rsid w:val="00F22E37"/>
    <w:rsid w:val="00F24CD5"/>
    <w:rsid w:val="00F25E13"/>
    <w:rsid w:val="00F27439"/>
    <w:rsid w:val="00F34154"/>
    <w:rsid w:val="00F35DB3"/>
    <w:rsid w:val="00F41013"/>
    <w:rsid w:val="00F428BC"/>
    <w:rsid w:val="00F434F5"/>
    <w:rsid w:val="00F4398F"/>
    <w:rsid w:val="00F47663"/>
    <w:rsid w:val="00F523B6"/>
    <w:rsid w:val="00F524D6"/>
    <w:rsid w:val="00F52732"/>
    <w:rsid w:val="00F52A5C"/>
    <w:rsid w:val="00F55097"/>
    <w:rsid w:val="00F57E9A"/>
    <w:rsid w:val="00F6167D"/>
    <w:rsid w:val="00F622DD"/>
    <w:rsid w:val="00F626ED"/>
    <w:rsid w:val="00F647E6"/>
    <w:rsid w:val="00F6544F"/>
    <w:rsid w:val="00F67839"/>
    <w:rsid w:val="00F71C4E"/>
    <w:rsid w:val="00F74CAE"/>
    <w:rsid w:val="00F76155"/>
    <w:rsid w:val="00F76D83"/>
    <w:rsid w:val="00F76F67"/>
    <w:rsid w:val="00F775C1"/>
    <w:rsid w:val="00F77AF2"/>
    <w:rsid w:val="00F8125E"/>
    <w:rsid w:val="00F817E3"/>
    <w:rsid w:val="00F86AE0"/>
    <w:rsid w:val="00F9431E"/>
    <w:rsid w:val="00F97C37"/>
    <w:rsid w:val="00FA0179"/>
    <w:rsid w:val="00FA2BEE"/>
    <w:rsid w:val="00FA7AD3"/>
    <w:rsid w:val="00FB1813"/>
    <w:rsid w:val="00FB26BD"/>
    <w:rsid w:val="00FB6BF9"/>
    <w:rsid w:val="00FC3164"/>
    <w:rsid w:val="00FC7355"/>
    <w:rsid w:val="00FD1E36"/>
    <w:rsid w:val="00FD56DA"/>
    <w:rsid w:val="00FD5DE3"/>
    <w:rsid w:val="00FD76A7"/>
    <w:rsid w:val="00FE19B7"/>
    <w:rsid w:val="00FE28E0"/>
    <w:rsid w:val="00FE3E79"/>
    <w:rsid w:val="00FE6F97"/>
    <w:rsid w:val="00FF17EC"/>
    <w:rsid w:val="00FF330D"/>
    <w:rsid w:val="00FF3554"/>
    <w:rsid w:val="00FF65A9"/>
    <w:rsid w:val="00FF74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7E362B64"/>
  <w15:docId w15:val="{AF8D24B7-2524-418A-AB5A-166478959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hAnsi="Times New Roman" w:eastAsiaTheme="minorHAnsi" w:cstheme="minorBidi"/>
        <w:sz w:val="22"/>
        <w:szCs w:val="22"/>
        <w:lang w:val="en-GB" w:eastAsia="en-US" w:bidi="ar-SA"/>
      </w:rPr>
    </w:rPrDefault>
    <w:pPrDefault>
      <w:pPr>
        <w:spacing w:line="26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next w:val="AONormal"/>
    <w:qFormat/>
    <w:rsid w:val="00B03378"/>
    <w:pPr>
      <w:spacing w:line="240" w:lineRule="auto"/>
    </w:pPr>
    <w:rPr>
      <w:rFonts w:cs="Times New Roman"/>
    </w:rPr>
  </w:style>
  <w:style w:type="paragraph" w:styleId="Heading1">
    <w:name w:val="heading 1"/>
    <w:basedOn w:val="AOHeadings"/>
    <w:next w:val="AODocTxt"/>
    <w:link w:val="Heading1Char"/>
    <w:uiPriority w:val="9"/>
    <w:qFormat/>
    <w:rsid w:val="00C828D6"/>
    <w:pPr>
      <w:keepNext/>
      <w:outlineLvl w:val="0"/>
    </w:pPr>
    <w:rPr>
      <w:rFonts w:eastAsia="Times New Roman"/>
      <w:b/>
      <w:bCs/>
      <w:caps/>
      <w:szCs w:val="28"/>
    </w:rPr>
  </w:style>
  <w:style w:type="paragraph" w:styleId="Heading2">
    <w:name w:val="heading 2"/>
    <w:basedOn w:val="AOHeadings"/>
    <w:next w:val="AODocTxt"/>
    <w:link w:val="Heading2Char"/>
    <w:uiPriority w:val="9"/>
    <w:semiHidden/>
    <w:unhideWhenUsed/>
    <w:qFormat/>
    <w:rsid w:val="00C828D6"/>
    <w:pPr>
      <w:keepNext/>
      <w:outlineLvl w:val="1"/>
    </w:pPr>
    <w:rPr>
      <w:rFonts w:eastAsia="Times New Roman"/>
      <w:b/>
      <w:bCs/>
      <w:szCs w:val="26"/>
    </w:rPr>
  </w:style>
  <w:style w:type="paragraph" w:styleId="Heading3">
    <w:name w:val="heading 3"/>
    <w:basedOn w:val="AOHeadings"/>
    <w:next w:val="AODocTxt"/>
    <w:link w:val="Heading3Char"/>
    <w:uiPriority w:val="9"/>
    <w:semiHidden/>
    <w:unhideWhenUsed/>
    <w:qFormat/>
    <w:rsid w:val="00C828D6"/>
    <w:pPr>
      <w:outlineLvl w:val="2"/>
    </w:pPr>
    <w:rPr>
      <w:rFonts w:eastAsia="Times New Roman"/>
      <w:bCs/>
    </w:rPr>
  </w:style>
  <w:style w:type="paragraph" w:styleId="Heading4">
    <w:name w:val="heading 4"/>
    <w:basedOn w:val="AOHeadings"/>
    <w:next w:val="AODocTxt"/>
    <w:link w:val="Heading4Char"/>
    <w:uiPriority w:val="9"/>
    <w:semiHidden/>
    <w:unhideWhenUsed/>
    <w:qFormat/>
    <w:rsid w:val="00C828D6"/>
    <w:pPr>
      <w:outlineLvl w:val="3"/>
    </w:pPr>
    <w:rPr>
      <w:rFonts w:eastAsia="Times New Roman"/>
      <w:bCs/>
      <w:iCs/>
    </w:rPr>
  </w:style>
  <w:style w:type="paragraph" w:styleId="Heading5">
    <w:name w:val="heading 5"/>
    <w:basedOn w:val="AOHeadings"/>
    <w:next w:val="AODocTxt"/>
    <w:link w:val="Heading5Char"/>
    <w:uiPriority w:val="9"/>
    <w:semiHidden/>
    <w:unhideWhenUsed/>
    <w:qFormat/>
    <w:rsid w:val="00C828D6"/>
    <w:pPr>
      <w:outlineLvl w:val="4"/>
    </w:pPr>
    <w:rPr>
      <w:rFonts w:eastAsia="Times New Roman"/>
    </w:rPr>
  </w:style>
  <w:style w:type="paragraph" w:styleId="Heading6">
    <w:name w:val="heading 6"/>
    <w:basedOn w:val="AOHeadings"/>
    <w:next w:val="AODocTxt"/>
    <w:link w:val="Heading6Char"/>
    <w:uiPriority w:val="9"/>
    <w:semiHidden/>
    <w:unhideWhenUsed/>
    <w:qFormat/>
    <w:rsid w:val="00C828D6"/>
    <w:pPr>
      <w:outlineLvl w:val="5"/>
    </w:pPr>
    <w:rPr>
      <w:rFonts w:eastAsia="Times New Roman"/>
      <w:iCs/>
    </w:rPr>
  </w:style>
  <w:style w:type="paragraph" w:styleId="Heading7">
    <w:name w:val="heading 7"/>
    <w:basedOn w:val="AOHeadings"/>
    <w:next w:val="AODocTxt"/>
    <w:link w:val="Heading7Char"/>
    <w:uiPriority w:val="9"/>
    <w:semiHidden/>
    <w:unhideWhenUsed/>
    <w:qFormat/>
    <w:rsid w:val="00C828D6"/>
    <w:pPr>
      <w:outlineLvl w:val="6"/>
    </w:pPr>
    <w:rPr>
      <w:rFonts w:eastAsia="Times New Roman"/>
      <w:iCs/>
    </w:rPr>
  </w:style>
  <w:style w:type="paragraph" w:styleId="Heading8">
    <w:name w:val="heading 8"/>
    <w:basedOn w:val="AOHeadings"/>
    <w:next w:val="AODocTxt"/>
    <w:link w:val="Heading8Char"/>
    <w:uiPriority w:val="9"/>
    <w:semiHidden/>
    <w:unhideWhenUsed/>
    <w:qFormat/>
    <w:rsid w:val="00C828D6"/>
    <w:pPr>
      <w:outlineLvl w:val="7"/>
    </w:pPr>
    <w:rPr>
      <w:rFonts w:eastAsia="Times New Roman"/>
      <w:szCs w:val="20"/>
    </w:rPr>
  </w:style>
  <w:style w:type="paragraph" w:styleId="Heading9">
    <w:name w:val="heading 9"/>
    <w:basedOn w:val="AOHeadings"/>
    <w:next w:val="AODocTxt"/>
    <w:link w:val="Heading9Char"/>
    <w:uiPriority w:val="9"/>
    <w:semiHidden/>
    <w:unhideWhenUsed/>
    <w:qFormat/>
    <w:rsid w:val="00C828D6"/>
    <w:pPr>
      <w:outlineLvl w:val="8"/>
    </w:pPr>
    <w:rPr>
      <w:rFonts w:eastAsia="Times New Roman"/>
      <w:iCs/>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AONormal" w:customStyle="1">
    <w:name w:val="AONormal"/>
    <w:rsid w:val="00C828D6"/>
    <w:rPr>
      <w:rFonts w:cs="Times New Roman"/>
    </w:rPr>
  </w:style>
  <w:style w:type="paragraph" w:styleId="AOBodyTxt" w:customStyle="1">
    <w:name w:val="AOBodyTxt"/>
    <w:basedOn w:val="AONormal"/>
    <w:next w:val="AODocTxt"/>
    <w:rsid w:val="00C828D6"/>
    <w:pPr>
      <w:spacing w:before="240"/>
      <w:jc w:val="both"/>
    </w:pPr>
  </w:style>
  <w:style w:type="paragraph" w:styleId="AODocTxt" w:customStyle="1">
    <w:name w:val="AODocTxt"/>
    <w:basedOn w:val="AOBodyTxt"/>
    <w:rsid w:val="00C828D6"/>
  </w:style>
  <w:style w:type="paragraph" w:styleId="AODocTxtL1" w:customStyle="1">
    <w:name w:val="AODocTxtL1"/>
    <w:basedOn w:val="AODocTxt"/>
    <w:rsid w:val="00C828D6"/>
    <w:pPr>
      <w:ind w:left="720"/>
    </w:pPr>
  </w:style>
  <w:style w:type="paragraph" w:styleId="AODocTxtL2" w:customStyle="1">
    <w:name w:val="AODocTxtL2"/>
    <w:basedOn w:val="AODocTxt"/>
    <w:rsid w:val="00C828D6"/>
    <w:pPr>
      <w:ind w:left="1440"/>
    </w:pPr>
  </w:style>
  <w:style w:type="paragraph" w:styleId="AODocTxtL3" w:customStyle="1">
    <w:name w:val="AODocTxtL3"/>
    <w:basedOn w:val="AODocTxt"/>
    <w:rsid w:val="00C828D6"/>
    <w:pPr>
      <w:ind w:left="2160"/>
    </w:pPr>
  </w:style>
  <w:style w:type="paragraph" w:styleId="AODocTxtL4" w:customStyle="1">
    <w:name w:val="AODocTxtL4"/>
    <w:basedOn w:val="AODocTxt"/>
    <w:rsid w:val="00C828D6"/>
    <w:pPr>
      <w:ind w:left="2880"/>
    </w:pPr>
  </w:style>
  <w:style w:type="paragraph" w:styleId="AODocTxtL5" w:customStyle="1">
    <w:name w:val="AODocTxtL5"/>
    <w:basedOn w:val="AODocTxt"/>
    <w:rsid w:val="00C828D6"/>
    <w:pPr>
      <w:ind w:left="3600"/>
    </w:pPr>
  </w:style>
  <w:style w:type="paragraph" w:styleId="AODocTxtL6" w:customStyle="1">
    <w:name w:val="AODocTxtL6"/>
    <w:basedOn w:val="AODocTxt"/>
    <w:rsid w:val="00C828D6"/>
    <w:pPr>
      <w:ind w:left="4320"/>
    </w:pPr>
  </w:style>
  <w:style w:type="paragraph" w:styleId="AODocTxtL7" w:customStyle="1">
    <w:name w:val="AODocTxtL7"/>
    <w:basedOn w:val="AODocTxt"/>
    <w:rsid w:val="00C828D6"/>
    <w:pPr>
      <w:ind w:left="5040"/>
    </w:pPr>
  </w:style>
  <w:style w:type="paragraph" w:styleId="AODocTxtL8" w:customStyle="1">
    <w:name w:val="AODocTxtL8"/>
    <w:basedOn w:val="AODocTxt"/>
    <w:rsid w:val="00C828D6"/>
    <w:pPr>
      <w:ind w:left="5760"/>
    </w:pPr>
  </w:style>
  <w:style w:type="paragraph" w:styleId="AO1" w:customStyle="1">
    <w:name w:val="AO(1)"/>
    <w:basedOn w:val="AOBodyTxt"/>
    <w:next w:val="AODocTxt"/>
    <w:rsid w:val="00C828D6"/>
    <w:pPr>
      <w:numPr>
        <w:numId w:val="2"/>
      </w:numPr>
      <w:tabs>
        <w:tab w:val="clear" w:pos="720"/>
      </w:tabs>
    </w:pPr>
  </w:style>
  <w:style w:type="paragraph" w:styleId="AOA" w:customStyle="1">
    <w:name w:val="AO(A)"/>
    <w:basedOn w:val="AOBodyTxt"/>
    <w:next w:val="AODocTxt"/>
    <w:rsid w:val="00C828D6"/>
    <w:pPr>
      <w:numPr>
        <w:numId w:val="3"/>
      </w:numPr>
    </w:pPr>
  </w:style>
  <w:style w:type="paragraph" w:styleId="AOHeadings" w:customStyle="1">
    <w:name w:val="AOHeadings"/>
    <w:basedOn w:val="AOBodyTxt"/>
    <w:next w:val="AODocTxt"/>
    <w:rsid w:val="00C828D6"/>
  </w:style>
  <w:style w:type="paragraph" w:styleId="AOHead1" w:customStyle="1">
    <w:name w:val="AOHead1"/>
    <w:basedOn w:val="AOHeadings"/>
    <w:next w:val="AODocTxtL1"/>
    <w:rsid w:val="00C828D6"/>
    <w:pPr>
      <w:keepNext/>
      <w:numPr>
        <w:numId w:val="1"/>
      </w:numPr>
      <w:outlineLvl w:val="0"/>
    </w:pPr>
    <w:rPr>
      <w:b/>
      <w:caps/>
      <w:kern w:val="28"/>
    </w:rPr>
  </w:style>
  <w:style w:type="paragraph" w:styleId="AOHead2" w:customStyle="1">
    <w:name w:val="AOHead2"/>
    <w:basedOn w:val="AOHeadings"/>
    <w:next w:val="AODocTxtL1"/>
    <w:rsid w:val="00C828D6"/>
    <w:pPr>
      <w:keepNext/>
      <w:numPr>
        <w:ilvl w:val="1"/>
        <w:numId w:val="1"/>
      </w:numPr>
      <w:outlineLvl w:val="1"/>
    </w:pPr>
    <w:rPr>
      <w:b/>
    </w:rPr>
  </w:style>
  <w:style w:type="paragraph" w:styleId="AOHead3" w:customStyle="1">
    <w:name w:val="AOHead3"/>
    <w:basedOn w:val="AOHeadings"/>
    <w:next w:val="AODocTxtL2"/>
    <w:rsid w:val="00C828D6"/>
    <w:pPr>
      <w:numPr>
        <w:ilvl w:val="2"/>
        <w:numId w:val="1"/>
      </w:numPr>
      <w:outlineLvl w:val="2"/>
    </w:pPr>
  </w:style>
  <w:style w:type="paragraph" w:styleId="AOHead4" w:customStyle="1">
    <w:name w:val="AOHead4"/>
    <w:basedOn w:val="AOHeadings"/>
    <w:next w:val="AODocTxtL3"/>
    <w:rsid w:val="00C828D6"/>
    <w:pPr>
      <w:numPr>
        <w:ilvl w:val="3"/>
        <w:numId w:val="1"/>
      </w:numPr>
      <w:outlineLvl w:val="3"/>
    </w:pPr>
  </w:style>
  <w:style w:type="paragraph" w:styleId="AOHead5" w:customStyle="1">
    <w:name w:val="AOHead5"/>
    <w:basedOn w:val="AOHeadings"/>
    <w:next w:val="AODocTxtL4"/>
    <w:rsid w:val="00C828D6"/>
    <w:pPr>
      <w:numPr>
        <w:ilvl w:val="4"/>
        <w:numId w:val="1"/>
      </w:numPr>
      <w:outlineLvl w:val="4"/>
    </w:pPr>
  </w:style>
  <w:style w:type="paragraph" w:styleId="AOHead6" w:customStyle="1">
    <w:name w:val="AOHead6"/>
    <w:basedOn w:val="AOHeadings"/>
    <w:next w:val="AODocTxtL5"/>
    <w:rsid w:val="00C828D6"/>
    <w:pPr>
      <w:numPr>
        <w:ilvl w:val="5"/>
        <w:numId w:val="1"/>
      </w:numPr>
      <w:outlineLvl w:val="5"/>
    </w:pPr>
  </w:style>
  <w:style w:type="paragraph" w:styleId="AOAltHead1" w:customStyle="1">
    <w:name w:val="AOAltHead1"/>
    <w:basedOn w:val="AOHead1"/>
    <w:next w:val="AODocTxtL1"/>
    <w:rsid w:val="00C828D6"/>
    <w:pPr>
      <w:keepNext w:val="0"/>
      <w:tabs>
        <w:tab w:val="clear" w:pos="720"/>
      </w:tabs>
    </w:pPr>
    <w:rPr>
      <w:b w:val="0"/>
      <w:caps w:val="0"/>
    </w:rPr>
  </w:style>
  <w:style w:type="paragraph" w:styleId="AOAltHead2" w:customStyle="1">
    <w:name w:val="AOAltHead2"/>
    <w:basedOn w:val="AOHead2"/>
    <w:next w:val="AODocTxtL1"/>
    <w:rsid w:val="00C828D6"/>
    <w:pPr>
      <w:keepNext w:val="0"/>
      <w:tabs>
        <w:tab w:val="clear" w:pos="720"/>
      </w:tabs>
    </w:pPr>
    <w:rPr>
      <w:b w:val="0"/>
    </w:rPr>
  </w:style>
  <w:style w:type="paragraph" w:styleId="AOAltHead3" w:customStyle="1">
    <w:name w:val="AOAltHead3"/>
    <w:basedOn w:val="AOHead3"/>
    <w:next w:val="AODocTxtL1"/>
    <w:rsid w:val="00C828D6"/>
    <w:pPr>
      <w:tabs>
        <w:tab w:val="clear" w:pos="1440"/>
      </w:tabs>
      <w:ind w:left="720"/>
    </w:pPr>
  </w:style>
  <w:style w:type="paragraph" w:styleId="AOAltHead4" w:customStyle="1">
    <w:name w:val="AOAltHead4"/>
    <w:basedOn w:val="AOHead4"/>
    <w:next w:val="AODocTxtL2"/>
    <w:rsid w:val="00C828D6"/>
    <w:pPr>
      <w:tabs>
        <w:tab w:val="clear" w:pos="2160"/>
      </w:tabs>
      <w:ind w:left="1440"/>
    </w:pPr>
  </w:style>
  <w:style w:type="paragraph" w:styleId="AOAltHead5" w:customStyle="1">
    <w:name w:val="AOAltHead5"/>
    <w:basedOn w:val="AOHead5"/>
    <w:next w:val="AODocTxtL3"/>
    <w:rsid w:val="00C828D6"/>
    <w:pPr>
      <w:tabs>
        <w:tab w:val="clear" w:pos="2880"/>
      </w:tabs>
      <w:ind w:left="2160"/>
    </w:pPr>
  </w:style>
  <w:style w:type="paragraph" w:styleId="AOAltHead6" w:customStyle="1">
    <w:name w:val="AOAltHead6"/>
    <w:basedOn w:val="AOHead6"/>
    <w:next w:val="AODocTxtL4"/>
    <w:rsid w:val="00C828D6"/>
    <w:pPr>
      <w:tabs>
        <w:tab w:val="clear" w:pos="3600"/>
      </w:tabs>
      <w:ind w:left="2880"/>
    </w:pPr>
  </w:style>
  <w:style w:type="paragraph" w:styleId="AOHeading1" w:customStyle="1">
    <w:name w:val="AOHeading1"/>
    <w:basedOn w:val="AOHeadings"/>
    <w:next w:val="AODocTxt"/>
    <w:rsid w:val="00C828D6"/>
    <w:pPr>
      <w:keepNext/>
      <w:outlineLvl w:val="0"/>
    </w:pPr>
    <w:rPr>
      <w:b/>
      <w:caps/>
      <w:kern w:val="28"/>
    </w:rPr>
  </w:style>
  <w:style w:type="paragraph" w:styleId="AOHeading2" w:customStyle="1">
    <w:name w:val="AOHeading2"/>
    <w:basedOn w:val="AOHeadings"/>
    <w:next w:val="AODocTxt"/>
    <w:rsid w:val="00C828D6"/>
    <w:pPr>
      <w:keepNext/>
      <w:outlineLvl w:val="1"/>
    </w:pPr>
    <w:rPr>
      <w:b/>
    </w:rPr>
  </w:style>
  <w:style w:type="paragraph" w:styleId="AOHeading3" w:customStyle="1">
    <w:name w:val="AOHeading3"/>
    <w:basedOn w:val="AOHeadings"/>
    <w:next w:val="AODocTxtL1"/>
    <w:rsid w:val="00C828D6"/>
    <w:pPr>
      <w:keepNext/>
      <w:ind w:left="720"/>
      <w:outlineLvl w:val="2"/>
    </w:pPr>
    <w:rPr>
      <w:b/>
    </w:rPr>
  </w:style>
  <w:style w:type="paragraph" w:styleId="AOHeading4" w:customStyle="1">
    <w:name w:val="AOHeading4"/>
    <w:basedOn w:val="AOHeadings"/>
    <w:next w:val="AODocTxt"/>
    <w:rsid w:val="00C828D6"/>
    <w:pPr>
      <w:keepNext/>
      <w:outlineLvl w:val="3"/>
    </w:pPr>
    <w:rPr>
      <w:i/>
    </w:rPr>
  </w:style>
  <w:style w:type="paragraph" w:styleId="Header">
    <w:name w:val="header"/>
    <w:basedOn w:val="Normal"/>
    <w:link w:val="HeaderChar"/>
    <w:uiPriority w:val="99"/>
    <w:unhideWhenUsed/>
    <w:rsid w:val="00C828D6"/>
    <w:pPr>
      <w:tabs>
        <w:tab w:val="center" w:pos="4150"/>
        <w:tab w:val="right" w:pos="8306"/>
      </w:tabs>
    </w:pPr>
  </w:style>
  <w:style w:type="character" w:styleId="HeaderChar" w:customStyle="1">
    <w:name w:val="Header Char"/>
    <w:basedOn w:val="DefaultParagraphFont"/>
    <w:link w:val="Header"/>
    <w:uiPriority w:val="99"/>
    <w:rsid w:val="00C828D6"/>
    <w:rPr>
      <w:rFonts w:cs="Times New Roman"/>
    </w:rPr>
  </w:style>
  <w:style w:type="paragraph" w:styleId="Footer">
    <w:name w:val="footer"/>
    <w:basedOn w:val="Normal"/>
    <w:link w:val="FooterChar"/>
    <w:uiPriority w:val="99"/>
    <w:unhideWhenUsed/>
    <w:rsid w:val="00C828D6"/>
    <w:pPr>
      <w:tabs>
        <w:tab w:val="center" w:pos="4150"/>
        <w:tab w:val="right" w:pos="8306"/>
      </w:tabs>
    </w:pPr>
  </w:style>
  <w:style w:type="character" w:styleId="FooterChar" w:customStyle="1">
    <w:name w:val="Footer Char"/>
    <w:basedOn w:val="DefaultParagraphFont"/>
    <w:link w:val="Footer"/>
    <w:uiPriority w:val="99"/>
    <w:rsid w:val="00C828D6"/>
    <w:rPr>
      <w:rFonts w:cs="Times New Roman"/>
    </w:rPr>
  </w:style>
  <w:style w:type="paragraph" w:styleId="AOAttachments" w:customStyle="1">
    <w:name w:val="AOAttachments"/>
    <w:basedOn w:val="AOBodyTxt"/>
    <w:next w:val="AODocTxt"/>
    <w:rsid w:val="00C828D6"/>
    <w:pPr>
      <w:jc w:val="center"/>
    </w:pPr>
    <w:rPr>
      <w:caps/>
    </w:rPr>
  </w:style>
  <w:style w:type="paragraph" w:styleId="AOAppTitle" w:customStyle="1">
    <w:name w:val="AOAppTitle"/>
    <w:basedOn w:val="AOAttachments"/>
    <w:next w:val="AODocTxt"/>
    <w:rsid w:val="00C828D6"/>
    <w:pPr>
      <w:outlineLvl w:val="1"/>
    </w:pPr>
    <w:rPr>
      <w:b/>
    </w:rPr>
  </w:style>
  <w:style w:type="paragraph" w:styleId="AOAppPartTitle" w:customStyle="1">
    <w:name w:val="AOAppPartTitle"/>
    <w:basedOn w:val="AOAppTitle"/>
    <w:next w:val="AODocTxt"/>
    <w:rsid w:val="00C828D6"/>
  </w:style>
  <w:style w:type="paragraph" w:styleId="AOAppHead" w:customStyle="1">
    <w:name w:val="AOAppHead"/>
    <w:basedOn w:val="AOAttachments"/>
    <w:next w:val="AOAppTitle"/>
    <w:rsid w:val="00C828D6"/>
    <w:pPr>
      <w:pageBreakBefore/>
      <w:numPr>
        <w:numId w:val="8"/>
      </w:numPr>
      <w:tabs>
        <w:tab w:val="clear" w:pos="0"/>
      </w:tabs>
      <w:outlineLvl w:val="0"/>
    </w:pPr>
  </w:style>
  <w:style w:type="paragraph" w:styleId="AOAppPartHead" w:customStyle="1">
    <w:name w:val="AOAppPartHead"/>
    <w:basedOn w:val="AOAppHead"/>
    <w:next w:val="AOAppPartTitle"/>
    <w:rsid w:val="00C828D6"/>
    <w:pPr>
      <w:pageBreakBefore w:val="0"/>
      <w:numPr>
        <w:ilvl w:val="1"/>
      </w:numPr>
      <w:tabs>
        <w:tab w:val="clear" w:pos="0"/>
      </w:tabs>
    </w:pPr>
  </w:style>
  <w:style w:type="paragraph" w:styleId="AOAnxTitle" w:customStyle="1">
    <w:name w:val="AOAnxTitle"/>
    <w:basedOn w:val="AOAttachments"/>
    <w:next w:val="AODocTxt"/>
    <w:rsid w:val="00C828D6"/>
    <w:pPr>
      <w:outlineLvl w:val="1"/>
    </w:pPr>
    <w:rPr>
      <w:b/>
    </w:rPr>
  </w:style>
  <w:style w:type="paragraph" w:styleId="AOAnxPartTitle" w:customStyle="1">
    <w:name w:val="AOAnxPartTitle"/>
    <w:basedOn w:val="AOAnxTitle"/>
    <w:next w:val="AODocTxt"/>
    <w:rsid w:val="00C828D6"/>
  </w:style>
  <w:style w:type="paragraph" w:styleId="AOAnxHead" w:customStyle="1">
    <w:name w:val="AOAnxHead"/>
    <w:basedOn w:val="AOAttachments"/>
    <w:next w:val="AOAnxTitle"/>
    <w:rsid w:val="00C828D6"/>
    <w:pPr>
      <w:pageBreakBefore/>
      <w:numPr>
        <w:numId w:val="9"/>
      </w:numPr>
      <w:tabs>
        <w:tab w:val="clear" w:pos="0"/>
      </w:tabs>
      <w:outlineLvl w:val="0"/>
    </w:pPr>
  </w:style>
  <w:style w:type="paragraph" w:styleId="AOAnxPartHead" w:customStyle="1">
    <w:name w:val="AOAnxPartHead"/>
    <w:basedOn w:val="AOAnxHead"/>
    <w:next w:val="AOAnxPartTitle"/>
    <w:rsid w:val="00C828D6"/>
    <w:pPr>
      <w:pageBreakBefore w:val="0"/>
      <w:numPr>
        <w:ilvl w:val="1"/>
      </w:numPr>
      <w:tabs>
        <w:tab w:val="clear" w:pos="0"/>
      </w:tabs>
    </w:pPr>
  </w:style>
  <w:style w:type="paragraph" w:styleId="AOSchTitle" w:customStyle="1">
    <w:name w:val="AOSchTitle"/>
    <w:basedOn w:val="AOAttachments"/>
    <w:next w:val="AODocTxt"/>
    <w:rsid w:val="00C828D6"/>
    <w:pPr>
      <w:outlineLvl w:val="1"/>
    </w:pPr>
    <w:rPr>
      <w:b/>
    </w:rPr>
  </w:style>
  <w:style w:type="paragraph" w:styleId="AOSchPartTitle" w:customStyle="1">
    <w:name w:val="AOSchPartTitle"/>
    <w:basedOn w:val="AOSchTitle"/>
    <w:next w:val="AODocTxt"/>
    <w:rsid w:val="00C828D6"/>
  </w:style>
  <w:style w:type="paragraph" w:styleId="AOSchHead" w:customStyle="1">
    <w:name w:val="AOSchHead"/>
    <w:basedOn w:val="AOAttachments"/>
    <w:next w:val="AOSchTitle"/>
    <w:rsid w:val="00C828D6"/>
    <w:pPr>
      <w:pageBreakBefore/>
      <w:numPr>
        <w:numId w:val="10"/>
      </w:numPr>
      <w:tabs>
        <w:tab w:val="clear" w:pos="0"/>
      </w:tabs>
      <w:outlineLvl w:val="0"/>
    </w:pPr>
  </w:style>
  <w:style w:type="paragraph" w:styleId="AOSchPartHead" w:customStyle="1">
    <w:name w:val="AOSchPartHead"/>
    <w:basedOn w:val="AOSchHead"/>
    <w:next w:val="AOSchPartTitle"/>
    <w:rsid w:val="00C828D6"/>
    <w:pPr>
      <w:pageBreakBefore w:val="0"/>
      <w:numPr>
        <w:ilvl w:val="1"/>
      </w:numPr>
      <w:tabs>
        <w:tab w:val="clear" w:pos="0"/>
      </w:tabs>
    </w:pPr>
  </w:style>
  <w:style w:type="paragraph" w:styleId="AODefHead" w:customStyle="1">
    <w:name w:val="AODefHead"/>
    <w:basedOn w:val="AOBodyTxt"/>
    <w:next w:val="AODefPara"/>
    <w:rsid w:val="00C828D6"/>
    <w:pPr>
      <w:numPr>
        <w:numId w:val="7"/>
      </w:numPr>
      <w:tabs>
        <w:tab w:val="clear" w:pos="720"/>
      </w:tabs>
      <w:outlineLvl w:val="5"/>
    </w:pPr>
  </w:style>
  <w:style w:type="paragraph" w:styleId="AODefPara" w:customStyle="1">
    <w:name w:val="AODefPara"/>
    <w:basedOn w:val="AODefHead"/>
    <w:rsid w:val="00C828D6"/>
    <w:pPr>
      <w:numPr>
        <w:ilvl w:val="1"/>
      </w:numPr>
      <w:tabs>
        <w:tab w:val="clear" w:pos="720"/>
      </w:tabs>
      <w:outlineLvl w:val="6"/>
    </w:pPr>
  </w:style>
  <w:style w:type="paragraph" w:styleId="AOBullet" w:customStyle="1">
    <w:name w:val="AOBullet"/>
    <w:basedOn w:val="AOBodyTxt"/>
    <w:rsid w:val="00C828D6"/>
    <w:pPr>
      <w:numPr>
        <w:numId w:val="11"/>
      </w:numPr>
      <w:tabs>
        <w:tab w:val="clear" w:pos="720"/>
      </w:tabs>
    </w:pPr>
  </w:style>
  <w:style w:type="paragraph" w:styleId="AOBullet2" w:customStyle="1">
    <w:name w:val="AOBullet2"/>
    <w:basedOn w:val="AOBullet"/>
    <w:rsid w:val="00C828D6"/>
    <w:pPr>
      <w:numPr>
        <w:numId w:val="12"/>
      </w:numPr>
      <w:tabs>
        <w:tab w:val="clear" w:pos="720"/>
      </w:tabs>
      <w:spacing w:before="120"/>
    </w:pPr>
  </w:style>
  <w:style w:type="paragraph" w:styleId="AOBullet3" w:customStyle="1">
    <w:name w:val="AOBullet3"/>
    <w:basedOn w:val="AOBodyTxt"/>
    <w:rsid w:val="00C828D6"/>
    <w:pPr>
      <w:numPr>
        <w:numId w:val="13"/>
      </w:numPr>
      <w:tabs>
        <w:tab w:val="clear" w:pos="720"/>
      </w:tabs>
      <w:spacing w:before="120"/>
    </w:pPr>
  </w:style>
  <w:style w:type="paragraph" w:styleId="AOBullet4" w:customStyle="1">
    <w:name w:val="AOBullet4"/>
    <w:basedOn w:val="AOBodyTxt"/>
    <w:rsid w:val="00C828D6"/>
    <w:pPr>
      <w:numPr>
        <w:numId w:val="14"/>
      </w:numPr>
      <w:tabs>
        <w:tab w:val="clear" w:pos="720"/>
      </w:tabs>
      <w:spacing w:before="120"/>
    </w:pPr>
  </w:style>
  <w:style w:type="paragraph" w:styleId="AOGenNum1" w:customStyle="1">
    <w:name w:val="AOGenNum1"/>
    <w:basedOn w:val="AOBodyTxt"/>
    <w:next w:val="AOGenNum1Para"/>
    <w:rsid w:val="00C828D6"/>
    <w:pPr>
      <w:keepNext/>
      <w:numPr>
        <w:numId w:val="4"/>
      </w:numPr>
    </w:pPr>
    <w:rPr>
      <w:b/>
      <w:caps/>
    </w:rPr>
  </w:style>
  <w:style w:type="paragraph" w:styleId="AOGenNum1List" w:customStyle="1">
    <w:name w:val="AOGenNum1List"/>
    <w:basedOn w:val="AOGenNum1"/>
    <w:rsid w:val="00C828D6"/>
    <w:pPr>
      <w:keepNext w:val="0"/>
      <w:numPr>
        <w:ilvl w:val="2"/>
      </w:numPr>
    </w:pPr>
    <w:rPr>
      <w:b w:val="0"/>
      <w:caps w:val="0"/>
    </w:rPr>
  </w:style>
  <w:style w:type="paragraph" w:styleId="AOGenNum1Para" w:customStyle="1">
    <w:name w:val="AOGenNum1Para"/>
    <w:basedOn w:val="AOGenNum1"/>
    <w:next w:val="AOGenNum1List"/>
    <w:rsid w:val="00C828D6"/>
    <w:pPr>
      <w:numPr>
        <w:ilvl w:val="1"/>
      </w:numPr>
    </w:pPr>
    <w:rPr>
      <w:caps w:val="0"/>
    </w:rPr>
  </w:style>
  <w:style w:type="paragraph" w:styleId="AOGenNum2" w:customStyle="1">
    <w:name w:val="AOGenNum2"/>
    <w:basedOn w:val="AOBodyTxt"/>
    <w:next w:val="AOGenNum2Para"/>
    <w:rsid w:val="00C828D6"/>
    <w:pPr>
      <w:keepNext/>
      <w:numPr>
        <w:numId w:val="5"/>
      </w:numPr>
    </w:pPr>
    <w:rPr>
      <w:b/>
    </w:rPr>
  </w:style>
  <w:style w:type="paragraph" w:styleId="AOGenNum2List" w:customStyle="1">
    <w:name w:val="AOGenNum2List"/>
    <w:basedOn w:val="AOGenNum2"/>
    <w:rsid w:val="00C828D6"/>
    <w:pPr>
      <w:keepNext w:val="0"/>
      <w:numPr>
        <w:ilvl w:val="2"/>
      </w:numPr>
    </w:pPr>
    <w:rPr>
      <w:b w:val="0"/>
    </w:rPr>
  </w:style>
  <w:style w:type="paragraph" w:styleId="AOGenNum2Para" w:customStyle="1">
    <w:name w:val="AOGenNum2Para"/>
    <w:basedOn w:val="AOGenNum2"/>
    <w:next w:val="AOGenNum2List"/>
    <w:rsid w:val="00C828D6"/>
    <w:pPr>
      <w:keepNext w:val="0"/>
      <w:numPr>
        <w:ilvl w:val="1"/>
      </w:numPr>
    </w:pPr>
    <w:rPr>
      <w:b w:val="0"/>
    </w:rPr>
  </w:style>
  <w:style w:type="paragraph" w:styleId="AOGenNum3" w:customStyle="1">
    <w:name w:val="AOGenNum3"/>
    <w:basedOn w:val="AOBodyTxt"/>
    <w:next w:val="AOGenNum3List"/>
    <w:rsid w:val="00C828D6"/>
    <w:pPr>
      <w:numPr>
        <w:numId w:val="6"/>
      </w:numPr>
    </w:pPr>
  </w:style>
  <w:style w:type="paragraph" w:styleId="AOGenNum3List" w:customStyle="1">
    <w:name w:val="AOGenNum3List"/>
    <w:basedOn w:val="AOGenNum3"/>
    <w:rsid w:val="00C828D6"/>
    <w:pPr>
      <w:numPr>
        <w:ilvl w:val="1"/>
      </w:numPr>
    </w:pPr>
  </w:style>
  <w:style w:type="paragraph" w:styleId="AOTitle" w:customStyle="1">
    <w:name w:val="AOTitle"/>
    <w:basedOn w:val="AOHeadings"/>
    <w:next w:val="AODocTxt"/>
    <w:rsid w:val="00C828D6"/>
    <w:pPr>
      <w:jc w:val="center"/>
    </w:pPr>
    <w:rPr>
      <w:b/>
      <w:caps/>
    </w:rPr>
  </w:style>
  <w:style w:type="paragraph" w:styleId="AOTOCHeading" w:customStyle="1">
    <w:name w:val="AOTOCHeading"/>
    <w:basedOn w:val="AOHeadings"/>
    <w:next w:val="AODocTxt"/>
    <w:rsid w:val="00C828D6"/>
    <w:pPr>
      <w:tabs>
        <w:tab w:val="right" w:pos="9609"/>
      </w:tabs>
      <w:spacing w:after="240"/>
    </w:pPr>
    <w:rPr>
      <w:b/>
    </w:rPr>
  </w:style>
  <w:style w:type="paragraph" w:styleId="AOTOCs" w:customStyle="1">
    <w:name w:val="AOTOCs"/>
    <w:basedOn w:val="AONormal"/>
    <w:next w:val="TOC1"/>
    <w:rsid w:val="00C828D6"/>
    <w:pPr>
      <w:tabs>
        <w:tab w:val="right" w:leader="dot" w:pos="9638"/>
      </w:tabs>
      <w:jc w:val="both"/>
    </w:pPr>
  </w:style>
  <w:style w:type="paragraph" w:styleId="TOC1">
    <w:name w:val="toc 1"/>
    <w:basedOn w:val="AOTOCs"/>
    <w:next w:val="AONormal"/>
    <w:autoRedefine/>
    <w:uiPriority w:val="39"/>
    <w:semiHidden/>
    <w:unhideWhenUsed/>
    <w:rsid w:val="00C828D6"/>
    <w:pPr>
      <w:tabs>
        <w:tab w:val="left" w:pos="720"/>
      </w:tabs>
      <w:ind w:left="720" w:hanging="720"/>
    </w:pPr>
  </w:style>
  <w:style w:type="paragraph" w:styleId="AOTOC1" w:customStyle="1">
    <w:name w:val="AOTOC1"/>
    <w:basedOn w:val="AOTOCs"/>
    <w:rsid w:val="00C828D6"/>
    <w:pPr>
      <w:tabs>
        <w:tab w:val="left" w:pos="720"/>
      </w:tabs>
    </w:pPr>
    <w:rPr>
      <w:b/>
      <w:caps/>
    </w:rPr>
  </w:style>
  <w:style w:type="paragraph" w:styleId="AOTOC2" w:customStyle="1">
    <w:name w:val="AOTOC2"/>
    <w:basedOn w:val="AOTOCs"/>
    <w:rsid w:val="00C828D6"/>
    <w:pPr>
      <w:tabs>
        <w:tab w:val="left" w:pos="720"/>
      </w:tabs>
    </w:pPr>
  </w:style>
  <w:style w:type="paragraph" w:styleId="AOTOC3" w:customStyle="1">
    <w:name w:val="AOTOC3"/>
    <w:basedOn w:val="AOTOCs"/>
    <w:rsid w:val="00C828D6"/>
    <w:pPr>
      <w:ind w:left="720"/>
    </w:pPr>
    <w:rPr>
      <w:b/>
    </w:rPr>
  </w:style>
  <w:style w:type="paragraph" w:styleId="AOTOC4" w:customStyle="1">
    <w:name w:val="AOTOC4"/>
    <w:basedOn w:val="AOTOCs"/>
    <w:rsid w:val="00C828D6"/>
    <w:pPr>
      <w:ind w:left="720"/>
    </w:pPr>
  </w:style>
  <w:style w:type="paragraph" w:styleId="AOTOC5" w:customStyle="1">
    <w:name w:val="AOTOC5"/>
    <w:basedOn w:val="AOTOCs"/>
    <w:rsid w:val="00C828D6"/>
    <w:pPr>
      <w:ind w:left="720"/>
    </w:pPr>
    <w:rPr>
      <w:i/>
    </w:rPr>
  </w:style>
  <w:style w:type="paragraph" w:styleId="TOC2">
    <w:name w:val="toc 2"/>
    <w:basedOn w:val="AOTOCs"/>
    <w:next w:val="AONormal"/>
    <w:autoRedefine/>
    <w:uiPriority w:val="39"/>
    <w:semiHidden/>
    <w:unhideWhenUsed/>
    <w:rsid w:val="00C828D6"/>
    <w:pPr>
      <w:tabs>
        <w:tab w:val="left" w:pos="1797"/>
      </w:tabs>
      <w:ind w:left="1797" w:right="720" w:hanging="1077"/>
    </w:pPr>
  </w:style>
  <w:style w:type="paragraph" w:styleId="TOC3">
    <w:name w:val="toc 3"/>
    <w:basedOn w:val="AOTOCs"/>
    <w:next w:val="AONormal"/>
    <w:autoRedefine/>
    <w:uiPriority w:val="39"/>
    <w:semiHidden/>
    <w:unhideWhenUsed/>
    <w:rsid w:val="00C828D6"/>
    <w:pPr>
      <w:numPr>
        <w:numId w:val="15"/>
      </w:numPr>
      <w:ind w:right="720"/>
    </w:pPr>
  </w:style>
  <w:style w:type="paragraph" w:styleId="TOC4">
    <w:name w:val="toc 4"/>
    <w:basedOn w:val="AOTOCs"/>
    <w:next w:val="AONormal"/>
    <w:autoRedefine/>
    <w:uiPriority w:val="39"/>
    <w:semiHidden/>
    <w:unhideWhenUsed/>
    <w:rsid w:val="00C828D6"/>
    <w:pPr>
      <w:numPr>
        <w:ilvl w:val="1"/>
        <w:numId w:val="15"/>
      </w:numPr>
      <w:tabs>
        <w:tab w:val="left" w:pos="1797"/>
      </w:tabs>
      <w:ind w:right="720"/>
    </w:pPr>
  </w:style>
  <w:style w:type="paragraph" w:styleId="TOC5">
    <w:name w:val="toc 5"/>
    <w:basedOn w:val="AOTOCs"/>
    <w:next w:val="AONormal"/>
    <w:autoRedefine/>
    <w:uiPriority w:val="39"/>
    <w:semiHidden/>
    <w:unhideWhenUsed/>
    <w:rsid w:val="00C828D6"/>
    <w:pPr>
      <w:spacing w:before="240"/>
    </w:pPr>
  </w:style>
  <w:style w:type="paragraph" w:styleId="TOC6">
    <w:name w:val="toc 6"/>
    <w:basedOn w:val="AOTOCs"/>
    <w:next w:val="AONormal"/>
    <w:autoRedefine/>
    <w:uiPriority w:val="39"/>
    <w:semiHidden/>
    <w:unhideWhenUsed/>
    <w:rsid w:val="00C828D6"/>
    <w:pPr>
      <w:numPr>
        <w:numId w:val="16"/>
      </w:numPr>
      <w:ind w:right="720"/>
    </w:pPr>
  </w:style>
  <w:style w:type="paragraph" w:styleId="TOC7">
    <w:name w:val="toc 7"/>
    <w:basedOn w:val="AOTOCs"/>
    <w:next w:val="AONormal"/>
    <w:autoRedefine/>
    <w:uiPriority w:val="39"/>
    <w:semiHidden/>
    <w:unhideWhenUsed/>
    <w:rsid w:val="00C828D6"/>
    <w:pPr>
      <w:numPr>
        <w:ilvl w:val="1"/>
        <w:numId w:val="16"/>
      </w:numPr>
      <w:tabs>
        <w:tab w:val="left" w:pos="1797"/>
      </w:tabs>
      <w:ind w:right="720"/>
    </w:pPr>
  </w:style>
  <w:style w:type="paragraph" w:styleId="TOC8">
    <w:name w:val="toc 8"/>
    <w:basedOn w:val="AOTOCs"/>
    <w:next w:val="AONormal"/>
    <w:autoRedefine/>
    <w:uiPriority w:val="39"/>
    <w:semiHidden/>
    <w:unhideWhenUsed/>
    <w:rsid w:val="00C828D6"/>
    <w:pPr>
      <w:numPr>
        <w:numId w:val="17"/>
      </w:numPr>
      <w:ind w:right="720"/>
    </w:pPr>
  </w:style>
  <w:style w:type="paragraph" w:styleId="TOC9">
    <w:name w:val="toc 9"/>
    <w:basedOn w:val="AOTOCs"/>
    <w:next w:val="AONormal"/>
    <w:autoRedefine/>
    <w:uiPriority w:val="39"/>
    <w:semiHidden/>
    <w:unhideWhenUsed/>
    <w:rsid w:val="00C828D6"/>
    <w:pPr>
      <w:numPr>
        <w:ilvl w:val="1"/>
        <w:numId w:val="17"/>
      </w:numPr>
      <w:tabs>
        <w:tab w:val="left" w:pos="1797"/>
      </w:tabs>
      <w:ind w:right="720"/>
    </w:pPr>
  </w:style>
  <w:style w:type="paragraph" w:styleId="FootnoteText">
    <w:name w:val="footnote text"/>
    <w:basedOn w:val="AONormal"/>
    <w:link w:val="FootnoteTextChar"/>
    <w:uiPriority w:val="99"/>
    <w:unhideWhenUsed/>
    <w:rsid w:val="00C828D6"/>
    <w:pPr>
      <w:spacing w:line="240" w:lineRule="auto"/>
      <w:ind w:left="720" w:hanging="720"/>
      <w:jc w:val="both"/>
    </w:pPr>
    <w:rPr>
      <w:sz w:val="16"/>
      <w:szCs w:val="20"/>
    </w:rPr>
  </w:style>
  <w:style w:type="character" w:styleId="FootnoteTextChar" w:customStyle="1">
    <w:name w:val="Footnote Text Char"/>
    <w:basedOn w:val="DefaultParagraphFont"/>
    <w:link w:val="FootnoteText"/>
    <w:uiPriority w:val="99"/>
    <w:rsid w:val="00C828D6"/>
    <w:rPr>
      <w:rFonts w:cs="Times New Roman"/>
      <w:sz w:val="16"/>
      <w:szCs w:val="20"/>
    </w:rPr>
  </w:style>
  <w:style w:type="paragraph" w:styleId="AOFPBP" w:customStyle="1">
    <w:name w:val="AOFPBP"/>
    <w:basedOn w:val="AONormal"/>
    <w:next w:val="AOFPTxt"/>
    <w:rsid w:val="00C828D6"/>
    <w:pPr>
      <w:jc w:val="center"/>
    </w:pPr>
  </w:style>
  <w:style w:type="paragraph" w:styleId="AOFPTxt" w:customStyle="1">
    <w:name w:val="AOFPTxt"/>
    <w:basedOn w:val="AOFPBP"/>
    <w:rsid w:val="00C828D6"/>
    <w:rPr>
      <w:b/>
    </w:rPr>
  </w:style>
  <w:style w:type="paragraph" w:styleId="AOBPTitle" w:customStyle="1">
    <w:name w:val="AOBPTitle"/>
    <w:basedOn w:val="AOFPBP"/>
    <w:rsid w:val="00C828D6"/>
    <w:rPr>
      <w:b/>
      <w:caps/>
    </w:rPr>
  </w:style>
  <w:style w:type="paragraph" w:styleId="AOBPTxtC" w:customStyle="1">
    <w:name w:val="AOBPTxtC"/>
    <w:basedOn w:val="AOFPBP"/>
    <w:rsid w:val="00C828D6"/>
  </w:style>
  <w:style w:type="paragraph" w:styleId="AOBPTxtL" w:customStyle="1">
    <w:name w:val="AOBPTxtL"/>
    <w:basedOn w:val="AOFPBP"/>
    <w:rsid w:val="00C828D6"/>
    <w:pPr>
      <w:jc w:val="left"/>
    </w:pPr>
  </w:style>
  <w:style w:type="paragraph" w:styleId="AOBPTxtR" w:customStyle="1">
    <w:name w:val="AOBPTxtR"/>
    <w:basedOn w:val="AOFPBP"/>
    <w:rsid w:val="00C828D6"/>
    <w:pPr>
      <w:jc w:val="right"/>
    </w:pPr>
  </w:style>
  <w:style w:type="paragraph" w:styleId="AOLocation" w:customStyle="1">
    <w:name w:val="AOLocation"/>
    <w:basedOn w:val="AOFPBP"/>
    <w:rsid w:val="00C828D6"/>
    <w:pPr>
      <w:spacing w:before="160"/>
    </w:pPr>
    <w:rPr>
      <w:b/>
      <w:caps/>
    </w:rPr>
  </w:style>
  <w:style w:type="paragraph" w:styleId="AOFPTxtCaps" w:customStyle="1">
    <w:name w:val="AOFPTxtCaps"/>
    <w:basedOn w:val="AOFPTxt"/>
    <w:rsid w:val="00C828D6"/>
    <w:rPr>
      <w:caps/>
    </w:rPr>
  </w:style>
  <w:style w:type="paragraph" w:styleId="AOFPTitle" w:customStyle="1">
    <w:name w:val="AOFPTitle"/>
    <w:basedOn w:val="AOFPTxt"/>
    <w:rsid w:val="00C828D6"/>
    <w:rPr>
      <w:caps/>
      <w:sz w:val="32"/>
    </w:rPr>
  </w:style>
  <w:style w:type="paragraph" w:styleId="AOFPDate" w:customStyle="1">
    <w:name w:val="AOFPDate"/>
    <w:basedOn w:val="AOFPTxt"/>
    <w:rsid w:val="00C828D6"/>
    <w:rPr>
      <w:caps/>
    </w:rPr>
  </w:style>
  <w:style w:type="paragraph" w:styleId="AOFPCopyright" w:customStyle="1">
    <w:name w:val="AOFPCopyright"/>
    <w:basedOn w:val="AOFPTxt"/>
    <w:rsid w:val="00C828D6"/>
    <w:pPr>
      <w:jc w:val="left"/>
    </w:pPr>
    <w:rPr>
      <w:caps/>
    </w:rPr>
  </w:style>
  <w:style w:type="paragraph" w:styleId="AOHeading5" w:customStyle="1">
    <w:name w:val="AOHeading5"/>
    <w:basedOn w:val="AOHeadings"/>
    <w:next w:val="AODocTxtL1"/>
    <w:rsid w:val="00C828D6"/>
    <w:pPr>
      <w:keepNext/>
      <w:ind w:left="720"/>
      <w:outlineLvl w:val="4"/>
    </w:pPr>
    <w:rPr>
      <w:i/>
    </w:rPr>
  </w:style>
  <w:style w:type="paragraph" w:styleId="AOHeading6" w:customStyle="1">
    <w:name w:val="AOHeading6"/>
    <w:basedOn w:val="AOHeadings"/>
    <w:next w:val="AODocTxt"/>
    <w:rsid w:val="00C828D6"/>
    <w:pPr>
      <w:keepNext/>
      <w:outlineLvl w:val="5"/>
    </w:pPr>
    <w:rPr>
      <w:b/>
      <w:i/>
    </w:rPr>
  </w:style>
  <w:style w:type="paragraph" w:styleId="AOHeading7" w:customStyle="1">
    <w:name w:val="AOHeading7"/>
    <w:basedOn w:val="AOHeadings"/>
    <w:next w:val="AODocTxtL1"/>
    <w:rsid w:val="00C828D6"/>
    <w:pPr>
      <w:keepNext/>
      <w:ind w:left="720"/>
      <w:outlineLvl w:val="6"/>
    </w:pPr>
    <w:rPr>
      <w:b/>
      <w:i/>
    </w:rPr>
  </w:style>
  <w:style w:type="paragraph" w:styleId="AONormal10" w:customStyle="1">
    <w:name w:val="AONormal10"/>
    <w:basedOn w:val="AONormal"/>
    <w:rsid w:val="00C828D6"/>
    <w:rPr>
      <w:sz w:val="20"/>
    </w:rPr>
  </w:style>
  <w:style w:type="paragraph" w:styleId="AONormal8L" w:customStyle="1">
    <w:name w:val="AONormal8L"/>
    <w:basedOn w:val="AONormal"/>
    <w:rsid w:val="00C828D6"/>
    <w:pPr>
      <w:spacing w:line="220" w:lineRule="atLeast"/>
    </w:pPr>
    <w:rPr>
      <w:rFonts w:ascii="Arial" w:hAnsi="Arial" w:cs="Arial"/>
      <w:sz w:val="16"/>
    </w:rPr>
  </w:style>
  <w:style w:type="paragraph" w:styleId="AONormal8LBold" w:customStyle="1">
    <w:name w:val="AONormal8LBold"/>
    <w:basedOn w:val="AONormal8L"/>
    <w:rsid w:val="00C828D6"/>
    <w:rPr>
      <w:b/>
    </w:rPr>
  </w:style>
  <w:style w:type="paragraph" w:styleId="AONormal8C" w:customStyle="1">
    <w:name w:val="AONormal8C"/>
    <w:basedOn w:val="AONormal8L"/>
    <w:rsid w:val="00C828D6"/>
    <w:pPr>
      <w:jc w:val="center"/>
    </w:pPr>
  </w:style>
  <w:style w:type="paragraph" w:styleId="AONormal8R" w:customStyle="1">
    <w:name w:val="AONormal8R"/>
    <w:basedOn w:val="AONormal8L"/>
    <w:rsid w:val="00C828D6"/>
    <w:pPr>
      <w:jc w:val="right"/>
    </w:pPr>
  </w:style>
  <w:style w:type="paragraph" w:styleId="AONormalBold" w:customStyle="1">
    <w:name w:val="AONormalBold"/>
    <w:basedOn w:val="AONormal"/>
    <w:rsid w:val="00C828D6"/>
    <w:rPr>
      <w:b/>
    </w:rPr>
  </w:style>
  <w:style w:type="paragraph" w:styleId="AONormal6L" w:customStyle="1">
    <w:name w:val="AONormal6L"/>
    <w:basedOn w:val="AONormal8L"/>
    <w:rsid w:val="00C828D6"/>
    <w:pPr>
      <w:spacing w:line="160" w:lineRule="atLeast"/>
      <w:jc w:val="both"/>
    </w:pPr>
    <w:rPr>
      <w:sz w:val="12"/>
    </w:rPr>
  </w:style>
  <w:style w:type="paragraph" w:styleId="AONormal6C" w:customStyle="1">
    <w:name w:val="AONormal6C"/>
    <w:basedOn w:val="AONormal6L"/>
    <w:rsid w:val="00C828D6"/>
    <w:pPr>
      <w:jc w:val="center"/>
    </w:pPr>
  </w:style>
  <w:style w:type="paragraph" w:styleId="AONormal6R" w:customStyle="1">
    <w:name w:val="AONormal6R"/>
    <w:basedOn w:val="AONormal6L"/>
    <w:rsid w:val="00C828D6"/>
    <w:pPr>
      <w:jc w:val="right"/>
    </w:pPr>
  </w:style>
  <w:style w:type="paragraph" w:styleId="AOTitle18" w:customStyle="1">
    <w:name w:val="AOTitle18"/>
    <w:basedOn w:val="AONormal"/>
    <w:rsid w:val="00C828D6"/>
    <w:rPr>
      <w:b/>
      <w:sz w:val="36"/>
    </w:rPr>
  </w:style>
  <w:style w:type="paragraph" w:styleId="AOSignatory" w:customStyle="1">
    <w:name w:val="AOSignatory"/>
    <w:basedOn w:val="AOBodyTxt"/>
    <w:next w:val="AODocTxt"/>
    <w:rsid w:val="00C828D6"/>
    <w:pPr>
      <w:pageBreakBefore/>
      <w:spacing w:after="240"/>
      <w:jc w:val="center"/>
    </w:pPr>
    <w:rPr>
      <w:b/>
      <w:caps/>
    </w:rPr>
  </w:style>
  <w:style w:type="paragraph" w:styleId="AOTOCTitle" w:customStyle="1">
    <w:name w:val="AOTOCTitle"/>
    <w:basedOn w:val="AOHeadings"/>
    <w:next w:val="AOTOCHeading"/>
    <w:rsid w:val="00C828D6"/>
    <w:pPr>
      <w:jc w:val="center"/>
    </w:pPr>
    <w:rPr>
      <w:b/>
      <w:caps/>
    </w:rPr>
  </w:style>
  <w:style w:type="paragraph" w:styleId="AOHidden" w:customStyle="1">
    <w:name w:val="AOHidden"/>
    <w:basedOn w:val="AONormal"/>
    <w:rsid w:val="00C828D6"/>
    <w:pPr>
      <w:spacing w:before="240"/>
      <w:jc w:val="both"/>
    </w:pPr>
    <w:rPr>
      <w:vanish/>
    </w:rPr>
  </w:style>
  <w:style w:type="paragraph" w:styleId="CommentText">
    <w:name w:val="annotation text"/>
    <w:basedOn w:val="AONormal"/>
    <w:link w:val="CommentTextChar"/>
    <w:uiPriority w:val="99"/>
    <w:semiHidden/>
    <w:unhideWhenUsed/>
    <w:rsid w:val="00C828D6"/>
    <w:pPr>
      <w:spacing w:line="240" w:lineRule="auto"/>
    </w:pPr>
    <w:rPr>
      <w:sz w:val="16"/>
      <w:szCs w:val="20"/>
    </w:rPr>
  </w:style>
  <w:style w:type="character" w:styleId="CommentTextChar" w:customStyle="1">
    <w:name w:val="Comment Text Char"/>
    <w:basedOn w:val="DefaultParagraphFont"/>
    <w:link w:val="CommentText"/>
    <w:uiPriority w:val="99"/>
    <w:semiHidden/>
    <w:rsid w:val="00C828D6"/>
    <w:rPr>
      <w:rFonts w:cs="Times New Roman"/>
      <w:sz w:val="16"/>
      <w:szCs w:val="20"/>
    </w:rPr>
  </w:style>
  <w:style w:type="paragraph" w:styleId="EndnoteText">
    <w:name w:val="endnote text"/>
    <w:basedOn w:val="AONormal"/>
    <w:link w:val="EndnoteTextChar"/>
    <w:uiPriority w:val="99"/>
    <w:semiHidden/>
    <w:unhideWhenUsed/>
    <w:rsid w:val="00C828D6"/>
    <w:pPr>
      <w:spacing w:line="240" w:lineRule="auto"/>
      <w:ind w:left="720" w:hanging="720"/>
      <w:jc w:val="both"/>
    </w:pPr>
    <w:rPr>
      <w:sz w:val="16"/>
      <w:szCs w:val="20"/>
    </w:rPr>
  </w:style>
  <w:style w:type="character" w:styleId="EndnoteTextChar" w:customStyle="1">
    <w:name w:val="Endnote Text Char"/>
    <w:basedOn w:val="DefaultParagraphFont"/>
    <w:link w:val="EndnoteText"/>
    <w:uiPriority w:val="99"/>
    <w:semiHidden/>
    <w:rsid w:val="00C828D6"/>
    <w:rPr>
      <w:rFonts w:cs="Times New Roman"/>
      <w:sz w:val="16"/>
      <w:szCs w:val="20"/>
    </w:rPr>
  </w:style>
  <w:style w:type="character" w:styleId="Heading1Char" w:customStyle="1">
    <w:name w:val="Heading 1 Char"/>
    <w:basedOn w:val="DefaultParagraphFont"/>
    <w:link w:val="Heading1"/>
    <w:uiPriority w:val="9"/>
    <w:rsid w:val="00C828D6"/>
    <w:rPr>
      <w:rFonts w:eastAsia="Times New Roman" w:cs="Times New Roman"/>
      <w:b/>
      <w:bCs/>
      <w:caps/>
      <w:szCs w:val="28"/>
    </w:rPr>
  </w:style>
  <w:style w:type="character" w:styleId="Heading2Char" w:customStyle="1">
    <w:name w:val="Heading 2 Char"/>
    <w:basedOn w:val="DefaultParagraphFont"/>
    <w:link w:val="Heading2"/>
    <w:uiPriority w:val="9"/>
    <w:semiHidden/>
    <w:rsid w:val="00C828D6"/>
    <w:rPr>
      <w:rFonts w:eastAsia="Times New Roman" w:cs="Times New Roman"/>
      <w:b/>
      <w:bCs/>
      <w:szCs w:val="26"/>
    </w:rPr>
  </w:style>
  <w:style w:type="character" w:styleId="Heading3Char" w:customStyle="1">
    <w:name w:val="Heading 3 Char"/>
    <w:basedOn w:val="DefaultParagraphFont"/>
    <w:link w:val="Heading3"/>
    <w:uiPriority w:val="9"/>
    <w:semiHidden/>
    <w:rsid w:val="00C828D6"/>
    <w:rPr>
      <w:rFonts w:eastAsia="Times New Roman" w:cs="Times New Roman"/>
      <w:bCs/>
    </w:rPr>
  </w:style>
  <w:style w:type="character" w:styleId="Heading4Char" w:customStyle="1">
    <w:name w:val="Heading 4 Char"/>
    <w:basedOn w:val="DefaultParagraphFont"/>
    <w:link w:val="Heading4"/>
    <w:uiPriority w:val="9"/>
    <w:semiHidden/>
    <w:rsid w:val="00C828D6"/>
    <w:rPr>
      <w:rFonts w:eastAsia="Times New Roman" w:cs="Times New Roman"/>
      <w:bCs/>
      <w:iCs/>
    </w:rPr>
  </w:style>
  <w:style w:type="character" w:styleId="Heading5Char" w:customStyle="1">
    <w:name w:val="Heading 5 Char"/>
    <w:basedOn w:val="DefaultParagraphFont"/>
    <w:link w:val="Heading5"/>
    <w:uiPriority w:val="9"/>
    <w:semiHidden/>
    <w:rsid w:val="00C828D6"/>
    <w:rPr>
      <w:rFonts w:eastAsia="Times New Roman" w:cs="Times New Roman"/>
    </w:rPr>
  </w:style>
  <w:style w:type="character" w:styleId="Heading6Char" w:customStyle="1">
    <w:name w:val="Heading 6 Char"/>
    <w:basedOn w:val="DefaultParagraphFont"/>
    <w:link w:val="Heading6"/>
    <w:uiPriority w:val="9"/>
    <w:semiHidden/>
    <w:rsid w:val="00C828D6"/>
    <w:rPr>
      <w:rFonts w:eastAsia="Times New Roman" w:cs="Times New Roman"/>
      <w:iCs/>
    </w:rPr>
  </w:style>
  <w:style w:type="character" w:styleId="Heading7Char" w:customStyle="1">
    <w:name w:val="Heading 7 Char"/>
    <w:basedOn w:val="DefaultParagraphFont"/>
    <w:link w:val="Heading7"/>
    <w:uiPriority w:val="9"/>
    <w:semiHidden/>
    <w:rsid w:val="00C828D6"/>
    <w:rPr>
      <w:rFonts w:eastAsia="Times New Roman" w:cs="Times New Roman"/>
      <w:iCs/>
    </w:rPr>
  </w:style>
  <w:style w:type="character" w:styleId="Heading8Char" w:customStyle="1">
    <w:name w:val="Heading 8 Char"/>
    <w:basedOn w:val="DefaultParagraphFont"/>
    <w:link w:val="Heading8"/>
    <w:uiPriority w:val="9"/>
    <w:semiHidden/>
    <w:rsid w:val="00C828D6"/>
    <w:rPr>
      <w:rFonts w:eastAsia="Times New Roman" w:cs="Times New Roman"/>
      <w:szCs w:val="20"/>
    </w:rPr>
  </w:style>
  <w:style w:type="character" w:styleId="Heading9Char" w:customStyle="1">
    <w:name w:val="Heading 9 Char"/>
    <w:basedOn w:val="DefaultParagraphFont"/>
    <w:link w:val="Heading9"/>
    <w:uiPriority w:val="9"/>
    <w:semiHidden/>
    <w:rsid w:val="00C828D6"/>
    <w:rPr>
      <w:rFonts w:eastAsia="Times New Roman" w:cs="Times New Roman"/>
      <w:iCs/>
      <w:szCs w:val="20"/>
    </w:rPr>
  </w:style>
  <w:style w:type="paragraph" w:styleId="TOAHeading">
    <w:name w:val="toa heading"/>
    <w:basedOn w:val="AONormal"/>
    <w:next w:val="TableofAuthorities"/>
    <w:uiPriority w:val="99"/>
    <w:semiHidden/>
    <w:unhideWhenUsed/>
    <w:rsid w:val="00C828D6"/>
    <w:pPr>
      <w:tabs>
        <w:tab w:val="right" w:leader="dot" w:pos="9490"/>
      </w:tabs>
      <w:spacing w:before="240" w:after="120" w:line="240" w:lineRule="auto"/>
    </w:pPr>
    <w:rPr>
      <w:rFonts w:eastAsia="Times New Roman"/>
      <w:b/>
      <w:bCs/>
      <w:szCs w:val="24"/>
    </w:rPr>
  </w:style>
  <w:style w:type="paragraph" w:styleId="TableofAuthorities">
    <w:name w:val="table of authorities"/>
    <w:basedOn w:val="AONormal"/>
    <w:uiPriority w:val="99"/>
    <w:semiHidden/>
    <w:unhideWhenUsed/>
    <w:rsid w:val="00C828D6"/>
    <w:pPr>
      <w:tabs>
        <w:tab w:val="right" w:leader="dot" w:pos="9490"/>
      </w:tabs>
      <w:spacing w:before="240" w:line="240" w:lineRule="auto"/>
      <w:ind w:left="720" w:hanging="720"/>
    </w:pPr>
  </w:style>
  <w:style w:type="paragraph" w:styleId="EnvelopeAddress">
    <w:name w:val="envelope address"/>
    <w:basedOn w:val="Normal"/>
    <w:uiPriority w:val="99"/>
    <w:semiHidden/>
    <w:unhideWhenUsed/>
    <w:rsid w:val="00C828D6"/>
    <w:pPr>
      <w:framePr w:w="7920" w:h="1980" w:hSpace="180" w:wrap="auto" w:hAnchor="page" w:xAlign="center" w:yAlign="bottom" w:hRule="exact"/>
      <w:ind w:left="2880"/>
    </w:pPr>
    <w:rPr>
      <w:rFonts w:eastAsia="Times New Roman"/>
      <w:szCs w:val="24"/>
    </w:rPr>
  </w:style>
  <w:style w:type="paragraph" w:styleId="EnvelopeReturn">
    <w:name w:val="envelope return"/>
    <w:basedOn w:val="Normal"/>
    <w:uiPriority w:val="99"/>
    <w:semiHidden/>
    <w:unhideWhenUsed/>
    <w:rsid w:val="00C828D6"/>
    <w:rPr>
      <w:rFonts w:eastAsia="Times New Roman"/>
      <w:sz w:val="20"/>
      <w:szCs w:val="20"/>
    </w:rPr>
  </w:style>
  <w:style w:type="paragraph" w:styleId="AOListNumber" w:customStyle="1">
    <w:name w:val="AOListNumber"/>
    <w:basedOn w:val="AOBodyTxt"/>
    <w:rsid w:val="00C828D6"/>
    <w:pPr>
      <w:numPr>
        <w:numId w:val="18"/>
      </w:numPr>
      <w:tabs>
        <w:tab w:val="clear" w:pos="720"/>
      </w:tabs>
    </w:pPr>
  </w:style>
  <w:style w:type="table" w:styleId="TableGrid">
    <w:name w:val="Table Grid"/>
    <w:basedOn w:val="TableNormal"/>
    <w:uiPriority w:val="59"/>
    <w:rsid w:val="00360A7C"/>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2F286F"/>
    <w:rPr>
      <w:rFonts w:ascii="Tahoma" w:hAnsi="Tahoma" w:cs="Tahoma"/>
      <w:sz w:val="16"/>
      <w:szCs w:val="16"/>
    </w:rPr>
  </w:style>
  <w:style w:type="character" w:styleId="BalloonTextChar" w:customStyle="1">
    <w:name w:val="Balloon Text Char"/>
    <w:basedOn w:val="DefaultParagraphFont"/>
    <w:link w:val="BalloonText"/>
    <w:uiPriority w:val="99"/>
    <w:semiHidden/>
    <w:rsid w:val="002F286F"/>
    <w:rPr>
      <w:rFonts w:ascii="Tahoma" w:hAnsi="Tahoma" w:cs="Tahoma"/>
      <w:sz w:val="16"/>
      <w:szCs w:val="16"/>
    </w:rPr>
  </w:style>
  <w:style w:type="character" w:styleId="PlaceholderText">
    <w:name w:val="Placeholder Text"/>
    <w:basedOn w:val="DefaultParagraphFont"/>
    <w:uiPriority w:val="99"/>
    <w:semiHidden/>
    <w:rsid w:val="00CB341D"/>
    <w:rPr>
      <w:color w:val="808080"/>
    </w:rPr>
  </w:style>
  <w:style w:type="character" w:styleId="FootnoteReference">
    <w:name w:val="footnote reference"/>
    <w:basedOn w:val="DefaultParagraphFont"/>
    <w:uiPriority w:val="99"/>
    <w:semiHidden/>
    <w:unhideWhenUsed/>
    <w:rsid w:val="00BD711F"/>
    <w:rPr>
      <w:vertAlign w:val="superscript"/>
    </w:rPr>
  </w:style>
  <w:style w:type="character" w:styleId="Hyperlink">
    <w:name w:val="Hyperlink"/>
    <w:basedOn w:val="DefaultParagraphFont"/>
    <w:uiPriority w:val="99"/>
    <w:unhideWhenUsed/>
    <w:rsid w:val="00CB1A64"/>
    <w:rPr>
      <w:color w:val="0000FF" w:themeColor="hyperlink"/>
      <w:u w:val="single"/>
    </w:rPr>
  </w:style>
  <w:style w:type="character" w:styleId="FollowedHyperlink">
    <w:name w:val="FollowedHyperlink"/>
    <w:basedOn w:val="DefaultParagraphFont"/>
    <w:uiPriority w:val="99"/>
    <w:semiHidden/>
    <w:unhideWhenUsed/>
    <w:rsid w:val="003A0360"/>
    <w:rPr>
      <w:color w:val="800080" w:themeColor="followedHyperlink"/>
      <w:u w:val="single"/>
    </w:rPr>
  </w:style>
  <w:style w:type="table" w:styleId="AOHdrFtrTblStyle" w:customStyle="1">
    <w:name w:val="AOHdrFtrTblStyle"/>
    <w:basedOn w:val="TableGrid"/>
    <w:rsid w:val="005508C3"/>
    <w:tblPr>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Pr>
  </w:style>
  <w:style w:type="paragraph" w:styleId="NormalWeb">
    <w:name w:val="Normal (Web)"/>
    <w:basedOn w:val="Normal"/>
    <w:uiPriority w:val="99"/>
    <w:semiHidden/>
    <w:unhideWhenUsed/>
    <w:rsid w:val="00623179"/>
    <w:pPr>
      <w:spacing w:before="100" w:beforeAutospacing="1" w:after="100" w:afterAutospacing="1"/>
    </w:pPr>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110786">
      <w:bodyDiv w:val="1"/>
      <w:marLeft w:val="0"/>
      <w:marRight w:val="0"/>
      <w:marTop w:val="0"/>
      <w:marBottom w:val="0"/>
      <w:divBdr>
        <w:top w:val="none" w:sz="0" w:space="0" w:color="auto"/>
        <w:left w:val="none" w:sz="0" w:space="0" w:color="auto"/>
        <w:bottom w:val="none" w:sz="0" w:space="0" w:color="auto"/>
        <w:right w:val="none" w:sz="0" w:space="0" w:color="auto"/>
      </w:divBdr>
    </w:div>
    <w:div w:id="802844637">
      <w:bodyDiv w:val="1"/>
      <w:marLeft w:val="0"/>
      <w:marRight w:val="0"/>
      <w:marTop w:val="0"/>
      <w:marBottom w:val="0"/>
      <w:divBdr>
        <w:top w:val="none" w:sz="0" w:space="0" w:color="auto"/>
        <w:left w:val="none" w:sz="0" w:space="0" w:color="auto"/>
        <w:bottom w:val="none" w:sz="0" w:space="0" w:color="auto"/>
        <w:right w:val="none" w:sz="0" w:space="0" w:color="auto"/>
      </w:divBdr>
    </w:div>
    <w:div w:id="825051326">
      <w:bodyDiv w:val="1"/>
      <w:marLeft w:val="0"/>
      <w:marRight w:val="0"/>
      <w:marTop w:val="0"/>
      <w:marBottom w:val="0"/>
      <w:divBdr>
        <w:top w:val="none" w:sz="0" w:space="0" w:color="auto"/>
        <w:left w:val="none" w:sz="0" w:space="0" w:color="auto"/>
        <w:bottom w:val="none" w:sz="0" w:space="0" w:color="auto"/>
        <w:right w:val="none" w:sz="0" w:space="0" w:color="auto"/>
      </w:divBdr>
    </w:div>
    <w:div w:id="1908570115">
      <w:bodyDiv w:val="1"/>
      <w:marLeft w:val="0"/>
      <w:marRight w:val="0"/>
      <w:marTop w:val="0"/>
      <w:marBottom w:val="0"/>
      <w:divBdr>
        <w:top w:val="none" w:sz="0" w:space="0" w:color="auto"/>
        <w:left w:val="none" w:sz="0" w:space="0" w:color="auto"/>
        <w:bottom w:val="none" w:sz="0" w:space="0" w:color="auto"/>
        <w:right w:val="none" w:sz="0" w:space="0" w:color="auto"/>
      </w:divBdr>
    </w:div>
    <w:div w:id="2012953426">
      <w:bodyDiv w:val="1"/>
      <w:marLeft w:val="0"/>
      <w:marRight w:val="0"/>
      <w:marTop w:val="0"/>
      <w:marBottom w:val="0"/>
      <w:divBdr>
        <w:top w:val="none" w:sz="0" w:space="0" w:color="auto"/>
        <w:left w:val="none" w:sz="0" w:space="0" w:color="auto"/>
        <w:bottom w:val="none" w:sz="0" w:space="0" w:color="auto"/>
        <w:right w:val="none" w:sz="0" w:space="0" w:color="auto"/>
      </w:divBdr>
    </w:div>
    <w:div w:id="2089494779">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footer" Target="footer2.xml" Id="rId14" /></Relationships>
</file>

<file path=word/_rels/footnotes.xml.rels><?xml version="1.0" encoding="UTF-8" standalone="yes"?>
<Relationships xmlns="http://schemas.openxmlformats.org/package/2006/relationships"><Relationship Id="rId8" Type="http://schemas.openxmlformats.org/officeDocument/2006/relationships/hyperlink" Target="https://www.sec.gov/ix?doc=/Archives/edgar/data/1691299/000119312522134266/d266204d8k.htm" TargetMode="External"/><Relationship Id="rId3" Type="http://schemas.openxmlformats.org/officeDocument/2006/relationships/hyperlink" Target="https://www.sec.gov/Archives/edgar/data/0001656936/000119312521236902/d130281dex21.htm" TargetMode="External"/><Relationship Id="rId7" Type="http://schemas.openxmlformats.org/officeDocument/2006/relationships/hyperlink" Target="https://www.sec.gov/ix?doc=/Archives/edgar/data/1705696/000119312522134159/d291163d8k.htm" TargetMode="External"/><Relationship Id="rId2" Type="http://schemas.openxmlformats.org/officeDocument/2006/relationships/hyperlink" Target="https://www.sec.gov/ix?doc=/Archives/edgar/data/1705696/000119312522134159/d291163d8k.htm" TargetMode="External"/><Relationship Id="rId1" Type="http://schemas.openxmlformats.org/officeDocument/2006/relationships/hyperlink" Target="https://www.sec.gov/Archives/edgar/data/0001656936/000119312521236902/d130281dex21.htm" TargetMode="External"/><Relationship Id="rId6" Type="http://schemas.openxmlformats.org/officeDocument/2006/relationships/hyperlink" Target="https://www.sec.gov/Archives/edgar/data/1705696/000119312522134159/d291163dex991.htm" TargetMode="External"/><Relationship Id="rId5" Type="http://schemas.openxmlformats.org/officeDocument/2006/relationships/hyperlink" Target="https://www.businesswire.com/news/home/20220414005716/en/VICI-Properties-Inc.-Announces-Extension-of-Exchange-Offers" TargetMode="External"/><Relationship Id="rId4" Type="http://schemas.openxmlformats.org/officeDocument/2006/relationships/hyperlink" Target="https://www.sec.gov/Archives/edgar/data/0001656936/000119312521236902/d130281dex21.htm" TargetMode="External"/><Relationship Id="rId9" Type="http://schemas.openxmlformats.org/officeDocument/2006/relationships/hyperlink" Target="https://content.edgar-online.com/ExternalLink/EDGAR/0001193125-20-040600.html?hash=cc68efa623d23b632f57ee883a7fcd71d1f4bcabf425250ebe9db9f612483ddd&amp;dest=d850473dex105_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file>

<file path=docProps/core.xml><?xml version="1.0" encoding="utf-8"?>
<coreProperties xmlns:dc="http://purl.org/dc/elements/1.1/" xmlns:dcterms="http://purl.org/dc/terms/" xmlns:xsi="http://www.w3.org/2001/XMLSchema-instance" xmlns="http://schemas.openxmlformats.org/package/2006/metadata/core-properties">
  <lastPrinted>1900-01-01T05:00:00.0000000Z</lastPrinted>
  <dcterms:created xsi:type="dcterms:W3CDTF">1900-01-01T05:00:00.0000000Z</dcterms:created>
  <dcterms:modified xsi:type="dcterms:W3CDTF">1900-01-01T05:00:00.0000000Z</dcterms:modified>
</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ontentTypeId">
    <vt:lpwstr>0x0101008E1931B9D01341BF82A1BE848E2F0648000D63B21F009B944AA79D7724E168C8DD</vt:lpwstr>
  </op:property>
  <op:property fmtid="{D5CDD505-2E9C-101B-9397-08002B2CF9AE}" pid="3" name="DisplayName">
    <vt:lpwstr>Memo External</vt:lpwstr>
  </op:property>
  <op:property fmtid="{D5CDD505-2E9C-101B-9397-08002B2CF9AE}" pid="4" name="DMProfile">
    <vt:lpwstr>Memo</vt:lpwstr>
  </op:property>
  <op:property fmtid="{D5CDD505-2E9C-101B-9397-08002B2CF9AE}" pid="5" name="FilePedigree">
    <vt:lpwstr>OSAX</vt:lpwstr>
  </op:property>
  <op:property fmtid="{D5CDD505-2E9C-101B-9397-08002B2CF9AE}" pid="6" name="TemplateFileName">
    <vt:lpwstr>AOMemo.dotm</vt:lpwstr>
  </op:property>
  <op:property fmtid="{D5CDD505-2E9C-101B-9397-08002B2CF9AE}" pid="7" name="OSADocumentType">
    <vt:lpwstr>5</vt:lpwstr>
  </op:property>
  <op:property fmtid="{D5CDD505-2E9C-101B-9397-08002B2CF9AE}" pid="8" name="AuthorDescription">
    <vt:lpwstr>Nicole Choong</vt:lpwstr>
  </op:property>
  <op:property fmtid="{D5CDD505-2E9C-101B-9397-08002B2CF9AE}" pid="9" name="AuthorName">
    <vt:lpwstr>Nicole Choong</vt:lpwstr>
  </op:property>
  <op:property fmtid="{D5CDD505-2E9C-101B-9397-08002B2CF9AE}" pid="10" name="AuthorInitials">
    <vt:lpwstr>NNGC</vt:lpwstr>
  </op:property>
  <op:property fmtid="{D5CDD505-2E9C-101B-9397-08002B2CF9AE}" pid="11" name="AuthorJobTitle">
    <vt:lpwstr>Trainee Solicitor</vt:lpwstr>
  </op:property>
  <op:property fmtid="{D5CDD505-2E9C-101B-9397-08002B2CF9AE}" pid="12" name="AuthorEmail">
    <vt:lpwstr>nicole.choong@allenovery.com</vt:lpwstr>
  </op:property>
  <op:property fmtid="{D5CDD505-2E9C-101B-9397-08002B2CF9AE}" pid="13" name="AuthorDirectLine">
    <vt:lpwstr/>
  </op:property>
  <op:property fmtid="{D5CDD505-2E9C-101B-9397-08002B2CF9AE}" pid="14" name="AuthorMobilePhone">
    <vt:lpwstr/>
  </op:property>
  <op:property fmtid="{D5CDD505-2E9C-101B-9397-08002B2CF9AE}" pid="15" name="AuthorPersonalFax">
    <vt:lpwstr/>
  </op:property>
  <op:property fmtid="{D5CDD505-2E9C-101B-9397-08002B2CF9AE}" pid="16" name="OurRef">
    <vt:lpwstr>NNGC</vt:lpwstr>
  </op:property>
  <op:property fmtid="{D5CDD505-2E9C-101B-9397-08002B2CF9AE}" pid="17" name="LanguageID">
    <vt:lpwstr>English (US)</vt:lpwstr>
  </op:property>
  <op:property fmtid="{D5CDD505-2E9C-101B-9397-08002B2CF9AE}" pid="18" name="OfficeID">
    <vt:lpwstr>New York</vt:lpwstr>
  </op:property>
  <op:property fmtid="{D5CDD505-2E9C-101B-9397-08002B2CF9AE}" pid="19" name="TemplateName">
    <vt:lpwstr>AOMemo.dotm</vt:lpwstr>
  </op:property>
  <op:property fmtid="{D5CDD505-2E9C-101B-9397-08002B2CF9AE}" pid="20" name="cpFooterText">
    <vt:lpwstr> </vt:lpwstr>
  </op:property>
  <op:property fmtid="{D5CDD505-2E9C-101B-9397-08002B2CF9AE}" pid="21" name="cpHeaderText">
    <vt:lpwstr> </vt:lpwstr>
  </op:property>
  <op:property fmtid="{D5CDD505-2E9C-101B-9397-08002B2CF9AE}" pid="22" name="DisplayLogo">
    <vt:lpwstr>False</vt:lpwstr>
  </op:property>
  <op:property fmtid="{D5CDD505-2E9C-101B-9397-08002B2CF9AE}" pid="23" name="MSIP_Label_42e67a54-274b-43d7-8098-b3ba5f50e576_Enabled">
    <vt:lpwstr>true</vt:lpwstr>
  </op:property>
  <op:property fmtid="{D5CDD505-2E9C-101B-9397-08002B2CF9AE}" pid="24" name="MSIP_Label_42e67a54-274b-43d7-8098-b3ba5f50e576_SetDate">
    <vt:lpwstr>2022-05-11T21:09:34Z</vt:lpwstr>
  </op:property>
  <op:property fmtid="{D5CDD505-2E9C-101B-9397-08002B2CF9AE}" pid="25" name="MSIP_Label_42e67a54-274b-43d7-8098-b3ba5f50e576_Method">
    <vt:lpwstr>Standard</vt:lpwstr>
  </op:property>
  <op:property fmtid="{D5CDD505-2E9C-101B-9397-08002B2CF9AE}" pid="26" name="MSIP_Label_42e67a54-274b-43d7-8098-b3ba5f50e576_Name">
    <vt:lpwstr>42e67a54-274b-43d7-8098-b3ba5f50e576</vt:lpwstr>
  </op:property>
  <op:property fmtid="{D5CDD505-2E9C-101B-9397-08002B2CF9AE}" pid="27" name="MSIP_Label_42e67a54-274b-43d7-8098-b3ba5f50e576_SiteId">
    <vt:lpwstr>7f0b44d2-04f8-4672-bf5d-4676796468a3</vt:lpwstr>
  </op:property>
  <op:property fmtid="{D5CDD505-2E9C-101B-9397-08002B2CF9AE}" pid="28" name="MSIP_Label_42e67a54-274b-43d7-8098-b3ba5f50e576_ActionId">
    <vt:lpwstr>0d5a5035-8dff-4f53-a534-83c5690a9dfa</vt:lpwstr>
  </op:property>
  <op:property fmtid="{D5CDD505-2E9C-101B-9397-08002B2CF9AE}" pid="29" name="MSIP_Label_42e67a54-274b-43d7-8098-b3ba5f50e576_ContentBits">
    <vt:lpwstr>0</vt:lpwstr>
  </op:property>
  <op:property fmtid="{D5CDD505-2E9C-101B-9397-08002B2CF9AE}" pid="30" name="cpCombinedRef">
    <vt:lpwstr>0126595-0000007 NYO1: 2003784948.5</vt:lpwstr>
  </op:property>
  <op:property fmtid="{D5CDD505-2E9C-101B-9397-08002B2CF9AE}" pid="31" name="Client">
    <vt:lpwstr>0126595</vt:lpwstr>
  </op:property>
  <op:property fmtid="{D5CDD505-2E9C-101B-9397-08002B2CF9AE}" pid="32" name="Matter">
    <vt:lpwstr>0000007</vt:lpwstr>
  </op:property>
  <op:property fmtid="{D5CDD505-2E9C-101B-9397-08002B2CF9AE}" pid="33" name="cpClientMatter">
    <vt:lpwstr>0126595-0000007</vt:lpwstr>
  </op:property>
  <op:property fmtid="{D5CDD505-2E9C-101B-9397-08002B2CF9AE}" pid="34" name="cpDocRef">
    <vt:lpwstr>NYO1: 2003784948.5</vt:lpwstr>
  </op:property>
</op:Properties>
</file>